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842D5" w14:textId="3B7D2B1F" w:rsidR="00C338C5" w:rsidRDefault="00000000">
      <w:pPr>
        <w:pStyle w:val="Tijeloteksta"/>
        <w:shd w:val="clear" w:color="auto" w:fill="auto"/>
        <w:rPr>
          <w:rFonts w:ascii="Arial" w:hAnsi="Arial" w:cs="Arial"/>
        </w:rPr>
      </w:pPr>
      <w:r>
        <w:rPr>
          <w:rFonts w:ascii="Arial" w:hAnsi="Arial" w:cs="Arial"/>
        </w:rPr>
        <w:t>Na osnovu zaključenog Ugovora o poslovnoj saradnji za plasman kreditnih sredstava uz subvenciju kamatne stope između Ministarstva privrede Kantona Sarajevo i NLB Banka d.d.</w:t>
      </w:r>
      <w:r w:rsidR="009E2C81">
        <w:rPr>
          <w:rFonts w:ascii="Arial" w:hAnsi="Arial" w:cs="Arial"/>
        </w:rPr>
        <w:t>,</w:t>
      </w:r>
      <w:r>
        <w:rPr>
          <w:rFonts w:ascii="Arial" w:hAnsi="Arial" w:cs="Arial"/>
        </w:rPr>
        <w:t xml:space="preserve"> Sarajevo potpisanog dana 31.12.2025. godine, objavljuje se:</w:t>
      </w:r>
    </w:p>
    <w:p w14:paraId="3BB0ECB8" w14:textId="77777777" w:rsidR="00E30216" w:rsidRDefault="00000000">
      <w:pPr>
        <w:pStyle w:val="Tijeloteksta"/>
        <w:shd w:val="clear" w:color="auto" w:fill="auto"/>
        <w:jc w:val="center"/>
        <w:rPr>
          <w:rFonts w:ascii="Arial" w:hAnsi="Arial" w:cs="Arial"/>
          <w:b/>
          <w:bCs/>
        </w:rPr>
      </w:pPr>
      <w:r>
        <w:rPr>
          <w:rFonts w:ascii="Arial" w:hAnsi="Arial" w:cs="Arial"/>
          <w:b/>
          <w:bCs/>
        </w:rPr>
        <w:t>J A V N I  P O Z I V</w:t>
      </w:r>
      <w:r>
        <w:rPr>
          <w:rFonts w:ascii="Arial" w:hAnsi="Arial" w:cs="Arial"/>
          <w:b/>
          <w:bCs/>
        </w:rPr>
        <w:br/>
        <w:t>SUBJEKTIMA MALE PRIVREDE</w:t>
      </w:r>
      <w:r>
        <w:rPr>
          <w:rFonts w:ascii="Arial" w:hAnsi="Arial" w:cs="Arial"/>
          <w:b/>
          <w:bCs/>
        </w:rPr>
        <w:br/>
        <w:t>ZA PODNOŠENJE ZAHTJEVA ZA ODOBRENJE KREDITIRANJA</w:t>
      </w:r>
    </w:p>
    <w:p w14:paraId="088518F1" w14:textId="77777777" w:rsidR="00E30216" w:rsidRDefault="00E30216" w:rsidP="00C338C5">
      <w:pPr>
        <w:pStyle w:val="Tijeloteksta"/>
        <w:shd w:val="clear" w:color="auto" w:fill="auto"/>
        <w:rPr>
          <w:rFonts w:ascii="Arial" w:hAnsi="Arial" w:cs="Arial"/>
          <w:b/>
          <w:bCs/>
        </w:rPr>
      </w:pPr>
    </w:p>
    <w:p w14:paraId="751A7E16"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0" w:name="bookmark0"/>
      <w:r>
        <w:rPr>
          <w:rFonts w:ascii="Arial" w:hAnsi="Arial" w:cs="Arial"/>
        </w:rPr>
        <w:t>PREDMET JAVNOG POZIVA</w:t>
      </w:r>
      <w:bookmarkEnd w:id="0"/>
    </w:p>
    <w:p w14:paraId="1463F619" w14:textId="77777777" w:rsidR="00E30216" w:rsidRDefault="00000000">
      <w:pPr>
        <w:pStyle w:val="Tijeloteksta"/>
        <w:shd w:val="clear" w:color="auto" w:fill="auto"/>
        <w:rPr>
          <w:rFonts w:ascii="Arial" w:hAnsi="Arial" w:cs="Arial"/>
        </w:rPr>
      </w:pPr>
      <w:r>
        <w:rPr>
          <w:rFonts w:ascii="Arial" w:hAnsi="Arial" w:cs="Arial"/>
        </w:rPr>
        <w:t>Predmet poziva je prikupljanje zahtjeva subjekata male privrede sa sjedištem u Kantonu Sarajevo za odabir korisnika kreditnih sredstava uz 100% subvencioniranje troškova kamate od strane Ministarstva privrede Kantona Sarajevo (u daljem tekstu: Ministarstvo) u skladu sa uslovima iz ovog Javnog poziva.</w:t>
      </w:r>
    </w:p>
    <w:p w14:paraId="59E4EA55" w14:textId="77777777" w:rsidR="00E30216" w:rsidRDefault="00E30216">
      <w:pPr>
        <w:pStyle w:val="Odlomakpopisa"/>
        <w:rPr>
          <w:rFonts w:cs="Arial"/>
          <w:lang w:val="sr-Latn-BA" w:eastAsia="sr-Latn-BA"/>
        </w:rPr>
      </w:pPr>
    </w:p>
    <w:p w14:paraId="3DFEA322"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r>
        <w:rPr>
          <w:rFonts w:ascii="Arial" w:hAnsi="Arial" w:cs="Arial"/>
        </w:rPr>
        <w:t xml:space="preserve">OPĆI CILJEVI JAVNOG POZIVA </w:t>
      </w:r>
    </w:p>
    <w:p w14:paraId="6CC52A89" w14:textId="77777777" w:rsidR="00E30216" w:rsidRDefault="00000000">
      <w:pPr>
        <w:pStyle w:val="Tijeloteksta"/>
        <w:shd w:val="clear" w:color="auto" w:fill="auto"/>
        <w:rPr>
          <w:rFonts w:ascii="Arial" w:hAnsi="Arial" w:cs="Arial"/>
        </w:rPr>
      </w:pPr>
      <w:r>
        <w:rPr>
          <w:rFonts w:ascii="Arial" w:hAnsi="Arial" w:cs="Arial"/>
        </w:rPr>
        <w:t>Poticajna sredstva namijenjena su korisnicima sredstava za obezbjeđenje tekuće likvidnosti, produktivnije poslovanje i rast privrednih aktivnosti, kao i za finansiranje za trajna obrtna sredstva.</w:t>
      </w:r>
    </w:p>
    <w:p w14:paraId="62FDCC25" w14:textId="77777777" w:rsidR="00E30216" w:rsidRDefault="00000000">
      <w:pPr>
        <w:pStyle w:val="Tijeloteksta"/>
        <w:shd w:val="clear" w:color="auto" w:fill="auto"/>
        <w:rPr>
          <w:rFonts w:ascii="Arial" w:hAnsi="Arial" w:cs="Arial"/>
        </w:rPr>
      </w:pPr>
      <w:r>
        <w:rPr>
          <w:rFonts w:ascii="Arial" w:hAnsi="Arial" w:cs="Arial"/>
        </w:rPr>
        <w:t xml:space="preserve">Prioritet u ostvarenju prava na poticajna kreditna sredstva ostvaruju subjekti male privrede koji u podnesenom zahtjevu za kredit navedu da će obezbijediti nova zapošljavanja. </w:t>
      </w:r>
    </w:p>
    <w:p w14:paraId="3D8D8361" w14:textId="77777777" w:rsidR="00E30216" w:rsidRDefault="00000000">
      <w:pPr>
        <w:pStyle w:val="Tijeloteksta"/>
        <w:shd w:val="clear" w:color="auto" w:fill="auto"/>
        <w:rPr>
          <w:rFonts w:ascii="Arial" w:hAnsi="Arial" w:cs="Arial"/>
        </w:rPr>
      </w:pPr>
      <w:r>
        <w:rPr>
          <w:rFonts w:ascii="Arial" w:hAnsi="Arial" w:cs="Arial"/>
        </w:rPr>
        <w:t>Korisnik sredstava je obavezan da zadrži minimalno 70% zaposlenih u odnosu na broj zaposlenih na dan podnošenja zahtjeva za kredit.</w:t>
      </w:r>
    </w:p>
    <w:p w14:paraId="78F5F534" w14:textId="77777777" w:rsidR="00E30216" w:rsidRDefault="00000000">
      <w:pPr>
        <w:pStyle w:val="Tijeloteksta"/>
        <w:shd w:val="clear" w:color="auto" w:fill="auto"/>
        <w:rPr>
          <w:rFonts w:ascii="Arial" w:hAnsi="Arial" w:cs="Arial"/>
        </w:rPr>
      </w:pPr>
      <w:r>
        <w:rPr>
          <w:rFonts w:ascii="Arial" w:hAnsi="Arial" w:cs="Arial"/>
        </w:rPr>
        <w:t>Korisnik sredstava je obavezan da obezbjedi nova zapošljavanja koja je naveo u zahtjevu za kredit, ako je time imao prioritet u postupku ostvarenja prava na poticajna kreditna sredstva.</w:t>
      </w:r>
    </w:p>
    <w:p w14:paraId="0ECCCB59" w14:textId="77777777" w:rsidR="00E30216" w:rsidRDefault="00E30216">
      <w:pPr>
        <w:pStyle w:val="Tijeloteksta"/>
        <w:shd w:val="clear" w:color="auto" w:fill="auto"/>
        <w:rPr>
          <w:rFonts w:ascii="Arial" w:hAnsi="Arial" w:cs="Arial"/>
        </w:rPr>
      </w:pPr>
    </w:p>
    <w:p w14:paraId="61A1C7C2"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r>
        <w:rPr>
          <w:rFonts w:ascii="Arial" w:hAnsi="Arial" w:cs="Arial"/>
        </w:rPr>
        <w:t xml:space="preserve">PRAVO UČEŠĆA  </w:t>
      </w:r>
    </w:p>
    <w:p w14:paraId="167940AF" w14:textId="77777777" w:rsidR="00E30216" w:rsidRDefault="00000000">
      <w:pPr>
        <w:pStyle w:val="Tijeloteksta"/>
        <w:shd w:val="clear" w:color="auto" w:fill="auto"/>
        <w:ind w:left="380" w:hanging="380"/>
        <w:rPr>
          <w:rFonts w:ascii="Arial" w:hAnsi="Arial" w:cs="Arial"/>
        </w:rPr>
      </w:pPr>
      <w:r>
        <w:rPr>
          <w:rFonts w:ascii="Arial" w:hAnsi="Arial" w:cs="Arial"/>
        </w:rPr>
        <w:t>Pravo učešća imaju subjekti male privrede, fizička i pravna lica koja:</w:t>
      </w:r>
    </w:p>
    <w:p w14:paraId="44B33FEF" w14:textId="77777777" w:rsidR="00E30216" w:rsidRDefault="00000000">
      <w:pPr>
        <w:pStyle w:val="pf0"/>
        <w:numPr>
          <w:ilvl w:val="0"/>
          <w:numId w:val="9"/>
        </w:numPr>
        <w:spacing w:beforeAutospacing="0" w:afterAutospacing="0"/>
        <w:ind w:left="426"/>
        <w:jc w:val="both"/>
        <w:rPr>
          <w:rStyle w:val="cf01"/>
          <w:rFonts w:ascii="Arial" w:hAnsi="Arial" w:cs="Arial"/>
          <w:sz w:val="20"/>
          <w:szCs w:val="20"/>
        </w:rPr>
      </w:pPr>
      <w:r>
        <w:rPr>
          <w:rFonts w:ascii="Arial" w:hAnsi="Arial" w:cs="Arial"/>
          <w:color w:val="00000A"/>
          <w:sz w:val="20"/>
          <w:szCs w:val="20"/>
        </w:rPr>
        <w:t xml:space="preserve">trajno obavljaju zakonom dozvoljene djelatnosti radi ostvarivanja dohotka, odnosno dobiti </w:t>
      </w:r>
      <w:r>
        <w:rPr>
          <w:rStyle w:val="cf01"/>
          <w:rFonts w:ascii="Arial" w:hAnsi="Arial" w:cs="Arial"/>
          <w:sz w:val="20"/>
          <w:szCs w:val="20"/>
        </w:rPr>
        <w:t xml:space="preserve">uključujući i samozapošljavanje i porodične poslove povezane sa obrtom i drugim djelatnostima, registrovani kod nadležnog organa, bez obzira na oblik organizovanja i koji: </w:t>
      </w:r>
    </w:p>
    <w:p w14:paraId="2BA87CCE" w14:textId="77777777" w:rsidR="00E30216" w:rsidRDefault="00000000">
      <w:pPr>
        <w:pStyle w:val="pf0"/>
        <w:spacing w:beforeAutospacing="0" w:afterAutospacing="0"/>
        <w:ind w:left="425"/>
        <w:jc w:val="both"/>
        <w:rPr>
          <w:rStyle w:val="cf01"/>
          <w:rFonts w:ascii="Arial" w:hAnsi="Arial" w:cs="Arial"/>
          <w:sz w:val="20"/>
          <w:szCs w:val="20"/>
        </w:rPr>
      </w:pPr>
      <w:r>
        <w:rPr>
          <w:rStyle w:val="cf01"/>
          <w:rFonts w:ascii="Arial" w:hAnsi="Arial" w:cs="Arial"/>
          <w:sz w:val="20"/>
          <w:szCs w:val="20"/>
        </w:rPr>
        <w:t xml:space="preserve">a) su samostalni u poslovanju; </w:t>
      </w:r>
    </w:p>
    <w:p w14:paraId="79C8C186" w14:textId="77777777" w:rsidR="00E30216" w:rsidRDefault="00000000">
      <w:pPr>
        <w:pStyle w:val="pf0"/>
        <w:spacing w:beforeAutospacing="0" w:afterAutospacing="0"/>
        <w:ind w:left="425"/>
        <w:jc w:val="both"/>
        <w:rPr>
          <w:rStyle w:val="cf01"/>
          <w:rFonts w:ascii="Arial" w:hAnsi="Arial" w:cs="Arial"/>
          <w:sz w:val="20"/>
          <w:szCs w:val="20"/>
        </w:rPr>
      </w:pPr>
      <w:r>
        <w:rPr>
          <w:rStyle w:val="cf01"/>
          <w:rFonts w:ascii="Arial" w:hAnsi="Arial" w:cs="Arial"/>
          <w:sz w:val="20"/>
          <w:szCs w:val="20"/>
        </w:rPr>
        <w:t xml:space="preserve">b) zapošljavaju prosječno godišnje manje od 250 lica i </w:t>
      </w:r>
    </w:p>
    <w:p w14:paraId="25B537F4" w14:textId="77777777" w:rsidR="00E30216" w:rsidRDefault="00000000">
      <w:pPr>
        <w:pStyle w:val="pf0"/>
        <w:spacing w:beforeAutospacing="0" w:afterAutospacing="0"/>
        <w:ind w:left="425"/>
        <w:jc w:val="both"/>
        <w:rPr>
          <w:rFonts w:ascii="Arial" w:hAnsi="Arial" w:cs="Arial"/>
          <w:sz w:val="20"/>
          <w:szCs w:val="20"/>
        </w:rPr>
      </w:pPr>
      <w:r>
        <w:rPr>
          <w:rStyle w:val="cf01"/>
          <w:rFonts w:ascii="Arial" w:hAnsi="Arial" w:cs="Arial"/>
          <w:sz w:val="20"/>
          <w:szCs w:val="20"/>
        </w:rPr>
        <w:t xml:space="preserve">c) ostvaruju godišnji prihod manji od 97.500.000,00 KM i/ili čiji je bilans stanja manji od 84.000.000,00 KM, a sve </w:t>
      </w:r>
      <w:r>
        <w:rPr>
          <w:rFonts w:ascii="Arial" w:hAnsi="Arial" w:cs="Arial"/>
          <w:color w:val="00000A"/>
          <w:sz w:val="20"/>
          <w:szCs w:val="20"/>
        </w:rPr>
        <w:t>na način kako je to propisano Zakonom o poticaju razvoja male privrede ("Službene novine Kantona Sarajevo", broj 29/15 – u daljem tekstu: Zakon);</w:t>
      </w:r>
    </w:p>
    <w:p w14:paraId="3430524D" w14:textId="77777777" w:rsidR="00E30216" w:rsidRDefault="00000000">
      <w:pPr>
        <w:pStyle w:val="Tijeloteksta"/>
        <w:numPr>
          <w:ilvl w:val="0"/>
          <w:numId w:val="5"/>
        </w:numPr>
        <w:shd w:val="clear" w:color="auto" w:fill="auto"/>
        <w:tabs>
          <w:tab w:val="left" w:pos="309"/>
        </w:tabs>
        <w:ind w:left="380" w:hanging="380"/>
        <w:rPr>
          <w:rFonts w:ascii="Arial" w:hAnsi="Arial" w:cs="Arial"/>
        </w:rPr>
      </w:pPr>
      <w:r>
        <w:rPr>
          <w:rFonts w:ascii="Arial" w:hAnsi="Arial" w:cs="Arial"/>
          <w:color w:val="00000A"/>
        </w:rPr>
        <w:t xml:space="preserve"> imaju sjedište na području Kantona Sarajevo </w:t>
      </w:r>
      <w:r>
        <w:rPr>
          <w:rFonts w:ascii="Arial" w:hAnsi="Arial" w:cs="Arial"/>
        </w:rPr>
        <w:t>sa jasno utvrđenom namjenom korištenja sredstava na području Kantona Sarajevo;</w:t>
      </w:r>
    </w:p>
    <w:p w14:paraId="3CD21277" w14:textId="77777777" w:rsidR="00E30216" w:rsidRDefault="00000000">
      <w:pPr>
        <w:pStyle w:val="Tijeloteksta"/>
        <w:numPr>
          <w:ilvl w:val="0"/>
          <w:numId w:val="5"/>
        </w:numPr>
        <w:shd w:val="clear" w:color="auto" w:fill="auto"/>
        <w:tabs>
          <w:tab w:val="left" w:pos="309"/>
        </w:tabs>
        <w:ind w:left="380" w:hanging="380"/>
        <w:rPr>
          <w:rFonts w:ascii="Arial" w:hAnsi="Arial" w:cs="Arial"/>
        </w:rPr>
      </w:pPr>
      <w:r>
        <w:rPr>
          <w:rFonts w:ascii="Arial" w:hAnsi="Arial" w:cs="Arial"/>
          <w:color w:val="00000A"/>
        </w:rPr>
        <w:t xml:space="preserve"> posluju likvidno i zadovoljavajućeg su boniteta;</w:t>
      </w:r>
    </w:p>
    <w:p w14:paraId="621B2570" w14:textId="77777777" w:rsidR="00E30216" w:rsidRDefault="00000000">
      <w:pPr>
        <w:pStyle w:val="Tijeloteksta"/>
        <w:numPr>
          <w:ilvl w:val="0"/>
          <w:numId w:val="5"/>
        </w:numPr>
        <w:shd w:val="clear" w:color="auto" w:fill="auto"/>
        <w:tabs>
          <w:tab w:val="left" w:pos="309"/>
        </w:tabs>
        <w:ind w:left="380" w:hanging="380"/>
        <w:rPr>
          <w:rFonts w:ascii="Arial" w:hAnsi="Arial" w:cs="Arial"/>
        </w:rPr>
      </w:pPr>
      <w:r>
        <w:rPr>
          <w:rFonts w:ascii="Arial" w:hAnsi="Arial" w:cs="Arial"/>
          <w:color w:val="00000A"/>
        </w:rPr>
        <w:t xml:space="preserve"> na osnovu obavještenja Službe za statistiku o razvrstavanju djelatnosti prema Klasifikaciji djelatnosti KD BiH 2010 ("Službeni glasnik BiH", broj 47/10) imaju registrovanu i aktivno obavljaju osnovnu djelatnost unutar sljedećih područja djelatnosti, i to:</w:t>
      </w:r>
    </w:p>
    <w:p w14:paraId="46781B18" w14:textId="77777777" w:rsidR="00E30216" w:rsidRDefault="00E30216">
      <w:pPr>
        <w:pStyle w:val="Tijeloteksta"/>
        <w:shd w:val="clear" w:color="auto" w:fill="auto"/>
        <w:tabs>
          <w:tab w:val="left" w:pos="309"/>
        </w:tabs>
        <w:ind w:left="380"/>
        <w:rPr>
          <w:rFonts w:ascii="Arial" w:hAnsi="Arial" w:cs="Arial"/>
        </w:rPr>
      </w:pPr>
    </w:p>
    <w:tbl>
      <w:tblPr>
        <w:tblStyle w:val="Reetkatablice"/>
        <w:tblW w:w="9062" w:type="dxa"/>
        <w:tblLayout w:type="fixed"/>
        <w:tblLook w:val="04A0" w:firstRow="1" w:lastRow="0" w:firstColumn="1" w:lastColumn="0" w:noHBand="0" w:noVBand="1"/>
      </w:tblPr>
      <w:tblGrid>
        <w:gridCol w:w="1129"/>
        <w:gridCol w:w="4912"/>
        <w:gridCol w:w="3021"/>
      </w:tblGrid>
      <w:tr w:rsidR="00E30216" w14:paraId="720C892E" w14:textId="77777777">
        <w:tc>
          <w:tcPr>
            <w:tcW w:w="1129" w:type="dxa"/>
          </w:tcPr>
          <w:p w14:paraId="08B446A8" w14:textId="77777777" w:rsidR="00E30216" w:rsidRDefault="00000000">
            <w:pPr>
              <w:pStyle w:val="Tijeloteksta"/>
              <w:shd w:val="clear" w:color="auto" w:fill="auto"/>
              <w:tabs>
                <w:tab w:val="left" w:pos="309"/>
              </w:tabs>
              <w:rPr>
                <w:rFonts w:ascii="Arial" w:hAnsi="Arial" w:cs="Arial"/>
                <w:b/>
                <w:bCs/>
                <w:color w:val="00000A"/>
              </w:rPr>
            </w:pPr>
            <w:r>
              <w:rPr>
                <w:rFonts w:ascii="Arial" w:hAnsi="Arial" w:cs="Arial"/>
                <w:b/>
                <w:bCs/>
                <w:color w:val="00000A"/>
              </w:rPr>
              <w:t>Područje prema KD BIH 2010</w:t>
            </w:r>
          </w:p>
        </w:tc>
        <w:tc>
          <w:tcPr>
            <w:tcW w:w="4912" w:type="dxa"/>
          </w:tcPr>
          <w:p w14:paraId="070753D5" w14:textId="77777777" w:rsidR="00E30216" w:rsidRDefault="00000000">
            <w:pPr>
              <w:pStyle w:val="Tijeloteksta"/>
              <w:shd w:val="clear" w:color="auto" w:fill="auto"/>
              <w:tabs>
                <w:tab w:val="left" w:pos="309"/>
              </w:tabs>
              <w:rPr>
                <w:rFonts w:ascii="Arial" w:hAnsi="Arial" w:cs="Arial"/>
                <w:b/>
                <w:bCs/>
                <w:color w:val="00000A"/>
              </w:rPr>
            </w:pPr>
            <w:r>
              <w:rPr>
                <w:rFonts w:ascii="Arial" w:hAnsi="Arial" w:cs="Arial"/>
                <w:b/>
                <w:bCs/>
                <w:color w:val="00000A"/>
              </w:rPr>
              <w:t>Naziv područja</w:t>
            </w:r>
          </w:p>
        </w:tc>
        <w:tc>
          <w:tcPr>
            <w:tcW w:w="3021" w:type="dxa"/>
          </w:tcPr>
          <w:p w14:paraId="3F27B9B7" w14:textId="77777777" w:rsidR="00E30216" w:rsidRDefault="00000000">
            <w:pPr>
              <w:pStyle w:val="Tijeloteksta"/>
              <w:shd w:val="clear" w:color="auto" w:fill="auto"/>
              <w:tabs>
                <w:tab w:val="left" w:pos="309"/>
              </w:tabs>
              <w:rPr>
                <w:rFonts w:ascii="Arial" w:hAnsi="Arial" w:cs="Arial"/>
                <w:b/>
                <w:bCs/>
                <w:color w:val="00000A"/>
              </w:rPr>
            </w:pPr>
            <w:r>
              <w:rPr>
                <w:rFonts w:ascii="Arial" w:hAnsi="Arial" w:cs="Arial"/>
                <w:b/>
                <w:bCs/>
                <w:color w:val="00000A"/>
              </w:rPr>
              <w:t>Šifre djelatnosti</w:t>
            </w:r>
          </w:p>
        </w:tc>
      </w:tr>
      <w:tr w:rsidR="00E30216" w14:paraId="166901D1" w14:textId="77777777">
        <w:tc>
          <w:tcPr>
            <w:tcW w:w="1129" w:type="dxa"/>
          </w:tcPr>
          <w:p w14:paraId="65F79289"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C</w:t>
            </w:r>
          </w:p>
        </w:tc>
        <w:tc>
          <w:tcPr>
            <w:tcW w:w="4912" w:type="dxa"/>
          </w:tcPr>
          <w:p w14:paraId="65BD701A"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Prerađivačka industrija</w:t>
            </w:r>
          </w:p>
        </w:tc>
        <w:tc>
          <w:tcPr>
            <w:tcW w:w="3021" w:type="dxa"/>
          </w:tcPr>
          <w:p w14:paraId="2F828996" w14:textId="77777777" w:rsidR="00E30216" w:rsidRDefault="00000000">
            <w:pPr>
              <w:pStyle w:val="Tijeloteksta"/>
              <w:shd w:val="clear" w:color="auto" w:fill="auto"/>
              <w:tabs>
                <w:tab w:val="left" w:pos="1109"/>
              </w:tabs>
              <w:rPr>
                <w:rFonts w:ascii="Arial" w:hAnsi="Arial" w:cs="Arial"/>
              </w:rPr>
            </w:pPr>
            <w:r>
              <w:rPr>
                <w:rFonts w:ascii="Arial" w:hAnsi="Arial" w:cs="Arial"/>
              </w:rPr>
              <w:t>(10.11-10.92), 11.07, (13.10</w:t>
            </w:r>
            <w:r>
              <w:rPr>
                <w:rFonts w:ascii="Arial" w:hAnsi="Arial" w:cs="Arial"/>
              </w:rPr>
              <w:softHyphen/>
              <w:t>18.20), (20.11-25.30) i (25.50-33.20)</w:t>
            </w:r>
          </w:p>
          <w:p w14:paraId="3DE507CC" w14:textId="77777777" w:rsidR="00E30216" w:rsidRDefault="00E30216">
            <w:pPr>
              <w:pStyle w:val="Tijeloteksta"/>
              <w:shd w:val="clear" w:color="auto" w:fill="auto"/>
              <w:tabs>
                <w:tab w:val="left" w:pos="309"/>
              </w:tabs>
              <w:rPr>
                <w:rFonts w:ascii="Arial" w:hAnsi="Arial" w:cs="Arial"/>
                <w:color w:val="00000A"/>
              </w:rPr>
            </w:pPr>
          </w:p>
        </w:tc>
      </w:tr>
      <w:tr w:rsidR="00E30216" w14:paraId="4BB86C5F" w14:textId="77777777">
        <w:tc>
          <w:tcPr>
            <w:tcW w:w="1129" w:type="dxa"/>
          </w:tcPr>
          <w:p w14:paraId="55776732" w14:textId="77777777" w:rsidR="00E30216" w:rsidRDefault="00000000">
            <w:pPr>
              <w:pStyle w:val="Tijeloteksta"/>
              <w:shd w:val="clear" w:color="auto" w:fill="auto"/>
              <w:tabs>
                <w:tab w:val="left" w:pos="309"/>
              </w:tabs>
              <w:rPr>
                <w:rFonts w:ascii="Arial" w:hAnsi="Arial" w:cs="Arial"/>
              </w:rPr>
            </w:pPr>
            <w:r>
              <w:rPr>
                <w:rFonts w:ascii="Arial" w:hAnsi="Arial" w:cs="Arial"/>
              </w:rPr>
              <w:t>D</w:t>
            </w:r>
          </w:p>
        </w:tc>
        <w:tc>
          <w:tcPr>
            <w:tcW w:w="4912" w:type="dxa"/>
          </w:tcPr>
          <w:p w14:paraId="60BED2D0" w14:textId="77777777" w:rsidR="00E30216" w:rsidRDefault="00E30216">
            <w:pPr>
              <w:pStyle w:val="Tijeloteksta"/>
              <w:shd w:val="clear" w:color="auto" w:fill="auto"/>
              <w:tabs>
                <w:tab w:val="left" w:pos="309"/>
              </w:tabs>
              <w:rPr>
                <w:rFonts w:ascii="Arial" w:hAnsi="Arial" w:cs="Arial"/>
              </w:rPr>
            </w:pPr>
          </w:p>
          <w:p w14:paraId="13AA53C0" w14:textId="77777777" w:rsidR="00E30216" w:rsidRDefault="00000000">
            <w:pPr>
              <w:pStyle w:val="Tijeloteksta"/>
              <w:shd w:val="clear" w:color="auto" w:fill="auto"/>
              <w:tabs>
                <w:tab w:val="left" w:pos="309"/>
              </w:tabs>
              <w:rPr>
                <w:rFonts w:ascii="Arial" w:hAnsi="Arial" w:cs="Arial"/>
              </w:rPr>
            </w:pPr>
            <w:r>
              <w:rPr>
                <w:rFonts w:ascii="Arial" w:hAnsi="Arial" w:cs="Arial"/>
              </w:rPr>
              <w:t xml:space="preserve">Proizvodnja i snadbijevanje električnom energijom, plinom, parom i klimatizacija </w:t>
            </w:r>
          </w:p>
          <w:p w14:paraId="085BAC98" w14:textId="77777777" w:rsidR="00E30216" w:rsidRDefault="00E30216">
            <w:pPr>
              <w:pStyle w:val="Tijeloteksta"/>
              <w:shd w:val="clear" w:color="auto" w:fill="auto"/>
              <w:tabs>
                <w:tab w:val="left" w:pos="309"/>
              </w:tabs>
              <w:rPr>
                <w:rFonts w:ascii="Arial" w:hAnsi="Arial" w:cs="Arial"/>
              </w:rPr>
            </w:pPr>
          </w:p>
        </w:tc>
        <w:tc>
          <w:tcPr>
            <w:tcW w:w="3021" w:type="dxa"/>
          </w:tcPr>
          <w:p w14:paraId="3FF8ED67"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35.11</w:t>
            </w:r>
          </w:p>
        </w:tc>
      </w:tr>
      <w:tr w:rsidR="00E30216" w14:paraId="1800AC7A" w14:textId="77777777">
        <w:tc>
          <w:tcPr>
            <w:tcW w:w="1129" w:type="dxa"/>
          </w:tcPr>
          <w:p w14:paraId="7D225E30"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E</w:t>
            </w:r>
          </w:p>
        </w:tc>
        <w:tc>
          <w:tcPr>
            <w:tcW w:w="4912" w:type="dxa"/>
          </w:tcPr>
          <w:p w14:paraId="2A8443EF" w14:textId="77777777" w:rsidR="00E30216" w:rsidRDefault="00000000">
            <w:pPr>
              <w:pStyle w:val="Tijeloteksta"/>
              <w:shd w:val="clear" w:color="auto" w:fill="auto"/>
              <w:tabs>
                <w:tab w:val="left" w:pos="1109"/>
              </w:tabs>
              <w:rPr>
                <w:rFonts w:ascii="Arial" w:hAnsi="Arial" w:cs="Arial"/>
              </w:rPr>
            </w:pPr>
            <w:r>
              <w:rPr>
                <w:rFonts w:ascii="Arial" w:hAnsi="Arial" w:cs="Arial"/>
              </w:rPr>
              <w:t>Opskrba vodom; uklanjanje otpadnih voda, gospodarenje otpadom te sanacije okoliša</w:t>
            </w:r>
          </w:p>
          <w:p w14:paraId="2F2F0244" w14:textId="77777777" w:rsidR="00E30216" w:rsidRDefault="00E30216">
            <w:pPr>
              <w:pStyle w:val="Tijeloteksta"/>
              <w:shd w:val="clear" w:color="auto" w:fill="auto"/>
              <w:tabs>
                <w:tab w:val="left" w:pos="309"/>
              </w:tabs>
              <w:rPr>
                <w:rFonts w:ascii="Arial" w:hAnsi="Arial" w:cs="Arial"/>
                <w:color w:val="00000A"/>
              </w:rPr>
            </w:pPr>
          </w:p>
        </w:tc>
        <w:tc>
          <w:tcPr>
            <w:tcW w:w="3021" w:type="dxa"/>
          </w:tcPr>
          <w:p w14:paraId="3976A765"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38.11, 38.12, 38.21, 38.22, 38.31 i 38.32</w:t>
            </w:r>
          </w:p>
        </w:tc>
      </w:tr>
      <w:tr w:rsidR="00E30216" w14:paraId="26BF32F5" w14:textId="77777777">
        <w:tc>
          <w:tcPr>
            <w:tcW w:w="1129" w:type="dxa"/>
          </w:tcPr>
          <w:p w14:paraId="6CE5958A"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F</w:t>
            </w:r>
          </w:p>
        </w:tc>
        <w:tc>
          <w:tcPr>
            <w:tcW w:w="4912" w:type="dxa"/>
          </w:tcPr>
          <w:p w14:paraId="3EA6CB70"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Građevinarstvo</w:t>
            </w:r>
          </w:p>
        </w:tc>
        <w:tc>
          <w:tcPr>
            <w:tcW w:w="3021" w:type="dxa"/>
          </w:tcPr>
          <w:p w14:paraId="1FD76EB7"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(41.10-43.99)</w:t>
            </w:r>
          </w:p>
        </w:tc>
      </w:tr>
      <w:tr w:rsidR="00E30216" w14:paraId="5A706284" w14:textId="77777777">
        <w:tc>
          <w:tcPr>
            <w:tcW w:w="1129" w:type="dxa"/>
          </w:tcPr>
          <w:p w14:paraId="101297A1"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G</w:t>
            </w:r>
          </w:p>
        </w:tc>
        <w:tc>
          <w:tcPr>
            <w:tcW w:w="4912" w:type="dxa"/>
          </w:tcPr>
          <w:p w14:paraId="344FBEED"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Trgovina na veliko i na malo; Popravak motornih vozila i motocikala</w:t>
            </w:r>
          </w:p>
        </w:tc>
        <w:tc>
          <w:tcPr>
            <w:tcW w:w="3021" w:type="dxa"/>
          </w:tcPr>
          <w:p w14:paraId="725C4FDA"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(45.11-45.40), (46.21-46.24), (46.31-46.33), (46.36-46.39), (46.41-46.77), 46.90, (47.11-47.24), 47.29 i (47.41-47.79)</w:t>
            </w:r>
          </w:p>
        </w:tc>
      </w:tr>
      <w:tr w:rsidR="00E30216" w14:paraId="2EF34FBF" w14:textId="77777777">
        <w:tc>
          <w:tcPr>
            <w:tcW w:w="1129" w:type="dxa"/>
          </w:tcPr>
          <w:p w14:paraId="248059C4"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lastRenderedPageBreak/>
              <w:t>H</w:t>
            </w:r>
          </w:p>
        </w:tc>
        <w:tc>
          <w:tcPr>
            <w:tcW w:w="4912" w:type="dxa"/>
          </w:tcPr>
          <w:p w14:paraId="6B0078AF"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Prevoz i skladištenje</w:t>
            </w:r>
          </w:p>
        </w:tc>
        <w:tc>
          <w:tcPr>
            <w:tcW w:w="3021" w:type="dxa"/>
          </w:tcPr>
          <w:p w14:paraId="0C22D288"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49.31, 49.39, 49.41, 49.42, 52.10, 52.21, 52.23, 52.24 i 52.29</w:t>
            </w:r>
          </w:p>
        </w:tc>
      </w:tr>
      <w:tr w:rsidR="00E30216" w14:paraId="2287C2AC" w14:textId="77777777">
        <w:tc>
          <w:tcPr>
            <w:tcW w:w="1129" w:type="dxa"/>
          </w:tcPr>
          <w:p w14:paraId="47472FE6"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I</w:t>
            </w:r>
          </w:p>
        </w:tc>
        <w:tc>
          <w:tcPr>
            <w:tcW w:w="4912" w:type="dxa"/>
          </w:tcPr>
          <w:p w14:paraId="11055869"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Djelatnosti pružanja smještaja te pripreme i usluživanja hrane</w:t>
            </w:r>
          </w:p>
        </w:tc>
        <w:tc>
          <w:tcPr>
            <w:tcW w:w="3021" w:type="dxa"/>
          </w:tcPr>
          <w:p w14:paraId="151D5D0F" w14:textId="77777777" w:rsidR="00E30216" w:rsidRDefault="00000000">
            <w:pPr>
              <w:pStyle w:val="Tijeloteksta"/>
              <w:shd w:val="clear" w:color="auto" w:fill="auto"/>
              <w:tabs>
                <w:tab w:val="left" w:pos="309"/>
              </w:tabs>
              <w:rPr>
                <w:rFonts w:ascii="Arial" w:hAnsi="Arial" w:cs="Arial"/>
              </w:rPr>
            </w:pPr>
            <w:r>
              <w:rPr>
                <w:rFonts w:ascii="Arial" w:hAnsi="Arial" w:cs="Arial"/>
              </w:rPr>
              <w:t>(55.10-56.29)</w:t>
            </w:r>
          </w:p>
        </w:tc>
      </w:tr>
      <w:tr w:rsidR="00E30216" w14:paraId="6E6CCD65" w14:textId="77777777">
        <w:tc>
          <w:tcPr>
            <w:tcW w:w="1129" w:type="dxa"/>
          </w:tcPr>
          <w:p w14:paraId="4D43F921"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J</w:t>
            </w:r>
          </w:p>
        </w:tc>
        <w:tc>
          <w:tcPr>
            <w:tcW w:w="4912" w:type="dxa"/>
          </w:tcPr>
          <w:p w14:paraId="43B94D1E"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Informacije i komunikacije</w:t>
            </w:r>
          </w:p>
        </w:tc>
        <w:tc>
          <w:tcPr>
            <w:tcW w:w="3021" w:type="dxa"/>
          </w:tcPr>
          <w:p w14:paraId="36D0417B" w14:textId="77777777" w:rsidR="00E30216" w:rsidRDefault="00000000">
            <w:pPr>
              <w:pStyle w:val="Tijeloteksta"/>
              <w:shd w:val="clear" w:color="auto" w:fill="auto"/>
              <w:tabs>
                <w:tab w:val="left" w:pos="309"/>
              </w:tabs>
              <w:rPr>
                <w:rFonts w:ascii="Arial" w:hAnsi="Arial" w:cs="Arial"/>
              </w:rPr>
            </w:pPr>
            <w:r>
              <w:rPr>
                <w:rFonts w:ascii="Arial" w:hAnsi="Arial" w:cs="Arial"/>
              </w:rPr>
              <w:t>(58.11-63.99)</w:t>
            </w:r>
          </w:p>
        </w:tc>
      </w:tr>
      <w:tr w:rsidR="00E30216" w14:paraId="4505B648" w14:textId="77777777">
        <w:tc>
          <w:tcPr>
            <w:tcW w:w="1129" w:type="dxa"/>
          </w:tcPr>
          <w:p w14:paraId="5F1080FE"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M</w:t>
            </w:r>
          </w:p>
        </w:tc>
        <w:tc>
          <w:tcPr>
            <w:tcW w:w="4912" w:type="dxa"/>
          </w:tcPr>
          <w:p w14:paraId="1731804B"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Stručne, znanstvene i tehničke djelatnosti</w:t>
            </w:r>
          </w:p>
        </w:tc>
        <w:tc>
          <w:tcPr>
            <w:tcW w:w="3021" w:type="dxa"/>
          </w:tcPr>
          <w:p w14:paraId="611385ED" w14:textId="77777777" w:rsidR="00E30216" w:rsidRDefault="00000000">
            <w:pPr>
              <w:pStyle w:val="Tijeloteksta"/>
              <w:shd w:val="clear" w:color="auto" w:fill="auto"/>
              <w:tabs>
                <w:tab w:val="left" w:pos="309"/>
              </w:tabs>
              <w:rPr>
                <w:rFonts w:ascii="Arial" w:hAnsi="Arial" w:cs="Arial"/>
              </w:rPr>
            </w:pPr>
            <w:r>
              <w:rPr>
                <w:rFonts w:ascii="Arial" w:hAnsi="Arial" w:cs="Arial"/>
              </w:rPr>
              <w:t>(69.10-75.00)</w:t>
            </w:r>
          </w:p>
        </w:tc>
      </w:tr>
      <w:tr w:rsidR="00E30216" w14:paraId="22ED22CD" w14:textId="77777777">
        <w:tc>
          <w:tcPr>
            <w:tcW w:w="1129" w:type="dxa"/>
          </w:tcPr>
          <w:p w14:paraId="072EB230"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N</w:t>
            </w:r>
          </w:p>
        </w:tc>
        <w:tc>
          <w:tcPr>
            <w:tcW w:w="4912" w:type="dxa"/>
          </w:tcPr>
          <w:p w14:paraId="2576A099"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Administrativne i pomoćne uslužne djelatnosti</w:t>
            </w:r>
          </w:p>
        </w:tc>
        <w:tc>
          <w:tcPr>
            <w:tcW w:w="3021" w:type="dxa"/>
          </w:tcPr>
          <w:p w14:paraId="52FBDA28" w14:textId="77777777" w:rsidR="00E30216" w:rsidRDefault="00000000">
            <w:pPr>
              <w:pStyle w:val="Tijeloteksta"/>
              <w:shd w:val="clear" w:color="auto" w:fill="auto"/>
              <w:tabs>
                <w:tab w:val="left" w:pos="309"/>
              </w:tabs>
              <w:rPr>
                <w:rFonts w:ascii="Arial" w:hAnsi="Arial" w:cs="Arial"/>
              </w:rPr>
            </w:pPr>
            <w:r>
              <w:rPr>
                <w:rFonts w:ascii="Arial" w:hAnsi="Arial" w:cs="Arial"/>
              </w:rPr>
              <w:t>(79.11-</w:t>
            </w:r>
            <w:r>
              <w:rPr>
                <w:rFonts w:ascii="Arial" w:hAnsi="Arial" w:cs="Arial"/>
              </w:rPr>
              <w:softHyphen/>
              <w:t>79.90), (81.21-81.30), 82.11 i 82.20</w:t>
            </w:r>
          </w:p>
        </w:tc>
      </w:tr>
      <w:tr w:rsidR="00E30216" w14:paraId="573B216B" w14:textId="77777777">
        <w:tc>
          <w:tcPr>
            <w:tcW w:w="1129" w:type="dxa"/>
          </w:tcPr>
          <w:p w14:paraId="7E5CC605"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P</w:t>
            </w:r>
          </w:p>
        </w:tc>
        <w:tc>
          <w:tcPr>
            <w:tcW w:w="4912" w:type="dxa"/>
          </w:tcPr>
          <w:p w14:paraId="4825ACD2"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Obrazovanje</w:t>
            </w:r>
          </w:p>
        </w:tc>
        <w:tc>
          <w:tcPr>
            <w:tcW w:w="3021" w:type="dxa"/>
          </w:tcPr>
          <w:p w14:paraId="6863C9A1" w14:textId="77777777" w:rsidR="00E30216" w:rsidRDefault="00000000">
            <w:pPr>
              <w:pStyle w:val="Tijeloteksta"/>
              <w:shd w:val="clear" w:color="auto" w:fill="auto"/>
              <w:tabs>
                <w:tab w:val="left" w:pos="309"/>
              </w:tabs>
              <w:rPr>
                <w:rFonts w:ascii="Arial" w:hAnsi="Arial" w:cs="Arial"/>
              </w:rPr>
            </w:pPr>
            <w:r>
              <w:rPr>
                <w:rFonts w:ascii="Arial" w:hAnsi="Arial" w:cs="Arial"/>
              </w:rPr>
              <w:t>85.10 i (85.51-85.60)</w:t>
            </w:r>
          </w:p>
        </w:tc>
      </w:tr>
      <w:tr w:rsidR="00E30216" w14:paraId="5098572B" w14:textId="77777777">
        <w:tc>
          <w:tcPr>
            <w:tcW w:w="1129" w:type="dxa"/>
          </w:tcPr>
          <w:p w14:paraId="127DF059"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Q</w:t>
            </w:r>
          </w:p>
        </w:tc>
        <w:tc>
          <w:tcPr>
            <w:tcW w:w="4912" w:type="dxa"/>
          </w:tcPr>
          <w:p w14:paraId="047A3E15"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Djelatnosti zdravstvene zaštite i socijalne skrbi</w:t>
            </w:r>
          </w:p>
        </w:tc>
        <w:tc>
          <w:tcPr>
            <w:tcW w:w="3021" w:type="dxa"/>
          </w:tcPr>
          <w:p w14:paraId="60AC647F" w14:textId="77777777" w:rsidR="00E30216" w:rsidRDefault="00000000">
            <w:pPr>
              <w:pStyle w:val="Tijeloteksta"/>
              <w:shd w:val="clear" w:color="auto" w:fill="auto"/>
              <w:tabs>
                <w:tab w:val="left" w:pos="309"/>
              </w:tabs>
              <w:rPr>
                <w:rFonts w:ascii="Arial" w:hAnsi="Arial" w:cs="Arial"/>
              </w:rPr>
            </w:pPr>
            <w:r>
              <w:rPr>
                <w:rFonts w:ascii="Arial" w:hAnsi="Arial" w:cs="Arial"/>
              </w:rPr>
              <w:t>(86.21-</w:t>
            </w:r>
            <w:r>
              <w:rPr>
                <w:rFonts w:ascii="Arial" w:hAnsi="Arial" w:cs="Arial"/>
              </w:rPr>
              <w:softHyphen/>
              <w:t>88.99);</w:t>
            </w:r>
          </w:p>
        </w:tc>
      </w:tr>
      <w:tr w:rsidR="00E30216" w14:paraId="4EE4A657" w14:textId="77777777">
        <w:tc>
          <w:tcPr>
            <w:tcW w:w="1129" w:type="dxa"/>
          </w:tcPr>
          <w:p w14:paraId="7F54F032"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color w:val="00000A"/>
              </w:rPr>
              <w:t>S</w:t>
            </w:r>
          </w:p>
        </w:tc>
        <w:tc>
          <w:tcPr>
            <w:tcW w:w="4912" w:type="dxa"/>
          </w:tcPr>
          <w:p w14:paraId="788FBDB9" w14:textId="77777777" w:rsidR="00E30216" w:rsidRDefault="00000000">
            <w:pPr>
              <w:pStyle w:val="Tijeloteksta"/>
              <w:shd w:val="clear" w:color="auto" w:fill="auto"/>
              <w:tabs>
                <w:tab w:val="left" w:pos="309"/>
              </w:tabs>
              <w:rPr>
                <w:rFonts w:ascii="Arial" w:hAnsi="Arial" w:cs="Arial"/>
                <w:color w:val="00000A"/>
              </w:rPr>
            </w:pPr>
            <w:r>
              <w:rPr>
                <w:rFonts w:ascii="Arial" w:hAnsi="Arial" w:cs="Arial"/>
              </w:rPr>
              <w:t>Ostale uslužne djelatnosti</w:t>
            </w:r>
          </w:p>
        </w:tc>
        <w:tc>
          <w:tcPr>
            <w:tcW w:w="3021" w:type="dxa"/>
          </w:tcPr>
          <w:p w14:paraId="3D6E634F" w14:textId="77777777" w:rsidR="00E30216" w:rsidRDefault="00000000">
            <w:pPr>
              <w:pStyle w:val="Tijeloteksta"/>
              <w:shd w:val="clear" w:color="auto" w:fill="auto"/>
              <w:tabs>
                <w:tab w:val="left" w:pos="309"/>
              </w:tabs>
              <w:rPr>
                <w:rFonts w:ascii="Arial" w:hAnsi="Arial" w:cs="Arial"/>
              </w:rPr>
            </w:pPr>
            <w:r>
              <w:rPr>
                <w:rFonts w:ascii="Arial" w:hAnsi="Arial" w:cs="Arial"/>
              </w:rPr>
              <w:t>(95.11-96.04)</w:t>
            </w:r>
          </w:p>
        </w:tc>
      </w:tr>
    </w:tbl>
    <w:p w14:paraId="34CE2CE0" w14:textId="77777777" w:rsidR="00E30216" w:rsidRDefault="00E30216">
      <w:pPr>
        <w:pStyle w:val="Tijeloteksta"/>
        <w:shd w:val="clear" w:color="auto" w:fill="auto"/>
        <w:tabs>
          <w:tab w:val="left" w:pos="309"/>
        </w:tabs>
        <w:rPr>
          <w:rFonts w:ascii="Arial" w:hAnsi="Arial" w:cs="Arial"/>
          <w:color w:val="00000A"/>
        </w:rPr>
      </w:pPr>
    </w:p>
    <w:p w14:paraId="649C5BF9" w14:textId="77777777" w:rsidR="00E30216" w:rsidRDefault="00000000">
      <w:pPr>
        <w:pStyle w:val="Tijeloteksta"/>
        <w:shd w:val="clear" w:color="auto" w:fill="auto"/>
        <w:rPr>
          <w:rFonts w:ascii="Arial" w:hAnsi="Arial" w:cs="Arial"/>
        </w:rPr>
      </w:pPr>
      <w:r>
        <w:rPr>
          <w:rFonts w:ascii="Arial" w:hAnsi="Arial" w:cs="Arial"/>
        </w:rPr>
        <w:t xml:space="preserve">Sredstvima iz ove kreditne linije ne mogu se finansirati državne institucije, javna preduzeća, neprofitne fondacije, udruženja i organizacije, kao ni sve vrste finansijskih institucija uključujući i </w:t>
      </w:r>
      <w:r>
        <w:rPr>
          <w:rFonts w:ascii="Arial" w:hAnsi="Arial" w:cs="Arial"/>
          <w:color w:val="00000A"/>
        </w:rPr>
        <w:t>druge banke, te se ista sredstva ne mogu koristiti u svrhu otkupa kreditnih obaveza po ranije preuzetim kreditima kod drugih banaka.</w:t>
      </w:r>
    </w:p>
    <w:p w14:paraId="5D814E0D" w14:textId="77777777" w:rsidR="00E30216" w:rsidRDefault="00E30216">
      <w:pPr>
        <w:pStyle w:val="Tijeloteksta"/>
        <w:rPr>
          <w:rFonts w:ascii="Arial" w:hAnsi="Arial" w:cs="Arial"/>
        </w:rPr>
      </w:pPr>
    </w:p>
    <w:p w14:paraId="449C2675" w14:textId="77777777" w:rsidR="00E30216" w:rsidRDefault="00000000">
      <w:pPr>
        <w:pStyle w:val="Tijeloteksta"/>
        <w:rPr>
          <w:rFonts w:ascii="Arial" w:hAnsi="Arial" w:cs="Arial"/>
        </w:rPr>
      </w:pPr>
      <w:r>
        <w:rPr>
          <w:rFonts w:ascii="Arial" w:hAnsi="Arial" w:cs="Arial"/>
        </w:rPr>
        <w:t>Subjekti male privrede, u smislu Zakona, dijele se na:</w:t>
      </w:r>
    </w:p>
    <w:p w14:paraId="357C3943" w14:textId="77777777" w:rsidR="00E30216" w:rsidRDefault="00000000">
      <w:pPr>
        <w:pStyle w:val="Tijeloteksta"/>
        <w:rPr>
          <w:rFonts w:ascii="Arial" w:hAnsi="Arial" w:cs="Arial"/>
        </w:rPr>
      </w:pPr>
      <w:r>
        <w:rPr>
          <w:rFonts w:ascii="Arial" w:hAnsi="Arial" w:cs="Arial"/>
        </w:rPr>
        <w:br/>
        <w:t>a) mikro subjekti male privrede su fizička i pravna lica koja zapošljavaju prosječno godišnje devet i manje lica i čiji je ukupni godišnji prihod i/ili čiji je ukupni godišnji bilans stanja manji od 3.900.000,00 konvertibilnih maraka,</w:t>
      </w:r>
    </w:p>
    <w:p w14:paraId="79AD823F" w14:textId="77777777" w:rsidR="00E30216" w:rsidRDefault="00000000">
      <w:pPr>
        <w:pStyle w:val="Tijeloteksta"/>
        <w:rPr>
          <w:rFonts w:ascii="Arial" w:hAnsi="Arial" w:cs="Arial"/>
        </w:rPr>
      </w:pPr>
      <w:r>
        <w:rPr>
          <w:rFonts w:ascii="Arial" w:hAnsi="Arial" w:cs="Arial"/>
        </w:rPr>
        <w:t>b) mali subjekti male privrede su fizička i pravna lica koja zapošljavaju prosječno godišnje od 10 do 49 lica i čiji je ukupni godišnji prihod i/ili čiji je ukupni godišnji bilans stanja manji od 19.500.000,00 konvertibilnih maraka i</w:t>
      </w:r>
    </w:p>
    <w:p w14:paraId="106AB2F6" w14:textId="77777777" w:rsidR="00E30216" w:rsidRDefault="00000000">
      <w:pPr>
        <w:pStyle w:val="Tijeloteksta"/>
        <w:rPr>
          <w:rFonts w:ascii="Arial" w:hAnsi="Arial" w:cs="Arial"/>
        </w:rPr>
      </w:pPr>
      <w:r>
        <w:rPr>
          <w:rFonts w:ascii="Arial" w:hAnsi="Arial" w:cs="Arial"/>
        </w:rPr>
        <w:t>c) srednji subjekti male privrede su fizička i pravna lica koja zapošljavaju prosječno godišnje od 50 do 250 lica i čiji je ukupni godišnji prihod manji od 97.500.000,00 konvertibilnih maraka i/ili čiji je ukupni godišnji bilans stanja manji od 84.000.000,00 konvertibilnih maraka.</w:t>
      </w:r>
    </w:p>
    <w:p w14:paraId="68603572" w14:textId="77777777" w:rsidR="00E30216" w:rsidRDefault="00E30216">
      <w:pPr>
        <w:pStyle w:val="Tijeloteksta"/>
        <w:shd w:val="clear" w:color="auto" w:fill="auto"/>
        <w:rPr>
          <w:rFonts w:ascii="Arial" w:hAnsi="Arial" w:cs="Arial"/>
        </w:rPr>
      </w:pPr>
    </w:p>
    <w:p w14:paraId="4DEF4B74"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1" w:name="bookmark2"/>
      <w:r>
        <w:rPr>
          <w:rFonts w:ascii="Arial" w:hAnsi="Arial" w:cs="Arial"/>
        </w:rPr>
        <w:t>NAMJENA SREDSTAVA</w:t>
      </w:r>
      <w:bookmarkEnd w:id="1"/>
    </w:p>
    <w:p w14:paraId="702E7056" w14:textId="77777777" w:rsidR="00E30216" w:rsidRDefault="00000000">
      <w:pPr>
        <w:pStyle w:val="Tijeloteksta"/>
        <w:shd w:val="clear" w:color="auto" w:fill="auto"/>
        <w:rPr>
          <w:rFonts w:ascii="Arial" w:hAnsi="Arial" w:cs="Arial"/>
        </w:rPr>
      </w:pPr>
      <w:r>
        <w:rPr>
          <w:rFonts w:ascii="Arial" w:hAnsi="Arial" w:cs="Arial"/>
        </w:rPr>
        <w:t>Namjena kreditnih sredstava je obezbjeđenje tekuće likvidnosti, produktivnije poslovanje i rast privrednih aktivnosti, kao i za finansiranje za trajna obrtna sredstva.</w:t>
      </w:r>
    </w:p>
    <w:p w14:paraId="40989338" w14:textId="77777777" w:rsidR="00E30216" w:rsidRDefault="00000000">
      <w:pPr>
        <w:pStyle w:val="Tijeloteksta"/>
        <w:shd w:val="clear" w:color="auto" w:fill="auto"/>
        <w:rPr>
          <w:rFonts w:ascii="Arial" w:hAnsi="Arial" w:cs="Arial"/>
        </w:rPr>
      </w:pPr>
      <w:r>
        <w:rPr>
          <w:rFonts w:ascii="Arial" w:hAnsi="Arial" w:cs="Arial"/>
        </w:rPr>
        <w:t>Za realizaciju ove linije Kanton Sarajevo - Ministarstvo  je obezbijedilo sredstva za subvenciju kamate u iznosu od 800.000,00 KM kojim će subvencionirati u cjelosti kamatnu stopu u visini 3,00 p.p. (procentna poena) po svakom pojedinačnom kreditiranju za sve korisnike sredstava koji ostvare uslove definisane ovim Javnim pozivom.</w:t>
      </w:r>
    </w:p>
    <w:p w14:paraId="3854AE7A" w14:textId="77777777" w:rsidR="00E30216" w:rsidRDefault="00000000">
      <w:pPr>
        <w:pStyle w:val="Tijeloteksta"/>
        <w:shd w:val="clear" w:color="auto" w:fill="auto"/>
        <w:rPr>
          <w:rFonts w:ascii="Arial" w:hAnsi="Arial" w:cs="Arial"/>
        </w:rPr>
      </w:pPr>
      <w:r>
        <w:rPr>
          <w:rFonts w:ascii="Arial" w:hAnsi="Arial" w:cs="Arial"/>
        </w:rPr>
        <w:t>Korisnik sredstava je obavezan da najmanje 50% ovih kreditnih sredstava utroši za osnovna sredstva, a maksimalno do 50% ovih kreditnih sredstava za obrtna sredstva i održavanje tekuće likvidnosti.</w:t>
      </w:r>
    </w:p>
    <w:p w14:paraId="23B63DB6" w14:textId="77777777" w:rsidR="00E30216" w:rsidRDefault="00000000">
      <w:pPr>
        <w:pStyle w:val="Tijeloteksta"/>
        <w:shd w:val="clear" w:color="auto" w:fill="auto"/>
        <w:rPr>
          <w:rFonts w:ascii="Arial" w:hAnsi="Arial" w:cs="Arial"/>
        </w:rPr>
      </w:pPr>
      <w:r>
        <w:rPr>
          <w:rFonts w:ascii="Arial" w:hAnsi="Arial" w:cs="Arial"/>
        </w:rPr>
        <w:t xml:space="preserve">Korisnik sredstava je obavezan da kreditna sredstava koristi za ugovorenu namjenu u skladu sa uslovima ovog Javnog poziva, te zaključenog Ugovora sa NLB Bankom d.d., Sarajevo, a u suprotnom Korisnik sredstava je obavezan da izvrši povrat ukupnog iznosa odobrenih sredstava za subvenciju kamate u ovoj kreditnoj liniji. </w:t>
      </w:r>
    </w:p>
    <w:p w14:paraId="216A3C38" w14:textId="77777777" w:rsidR="00E30216" w:rsidRDefault="00E30216">
      <w:pPr>
        <w:rPr>
          <w:rFonts w:cs="Arial"/>
          <w:lang w:val="sr-Latn-BA"/>
        </w:rPr>
      </w:pPr>
    </w:p>
    <w:p w14:paraId="039506AA"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2" w:name="bookmark4"/>
      <w:r>
        <w:rPr>
          <w:rFonts w:ascii="Arial" w:hAnsi="Arial" w:cs="Arial"/>
        </w:rPr>
        <w:t>INFORMACIJE O USLOVIMA I ROKOVIMA KREDITA IZ KREDITNE LINIJE</w:t>
      </w:r>
      <w:bookmarkEnd w:id="2"/>
    </w:p>
    <w:p w14:paraId="072D64D4" w14:textId="77777777" w:rsidR="00E30216" w:rsidRDefault="00E30216">
      <w:pPr>
        <w:pStyle w:val="Heading20"/>
        <w:keepNext/>
        <w:keepLines/>
        <w:shd w:val="clear" w:color="auto" w:fill="auto"/>
        <w:tabs>
          <w:tab w:val="left" w:pos="382"/>
        </w:tabs>
        <w:spacing w:after="0"/>
        <w:ind w:left="380"/>
        <w:rPr>
          <w:rFonts w:ascii="Arial" w:hAnsi="Arial" w:cs="Arial"/>
        </w:rPr>
      </w:pPr>
    </w:p>
    <w:tbl>
      <w:tblPr>
        <w:tblW w:w="9639" w:type="dxa"/>
        <w:jc w:val="center"/>
        <w:tblLayout w:type="fixed"/>
        <w:tblCellMar>
          <w:left w:w="10" w:type="dxa"/>
          <w:right w:w="10" w:type="dxa"/>
        </w:tblCellMar>
        <w:tblLook w:val="0000" w:firstRow="0" w:lastRow="0" w:firstColumn="0" w:lastColumn="0" w:noHBand="0" w:noVBand="0"/>
      </w:tblPr>
      <w:tblGrid>
        <w:gridCol w:w="2697"/>
        <w:gridCol w:w="6942"/>
      </w:tblGrid>
      <w:tr w:rsidR="00E30216" w14:paraId="11F2FDCE" w14:textId="77777777">
        <w:trPr>
          <w:trHeight w:hRule="exact" w:val="811"/>
          <w:jc w:val="center"/>
        </w:trPr>
        <w:tc>
          <w:tcPr>
            <w:tcW w:w="2697" w:type="dxa"/>
            <w:tcBorders>
              <w:top w:val="single" w:sz="4" w:space="0" w:color="000000"/>
              <w:left w:val="single" w:sz="4" w:space="0" w:color="000000"/>
            </w:tcBorders>
            <w:shd w:val="clear" w:color="auto" w:fill="FFFFFF"/>
            <w:vAlign w:val="center"/>
          </w:tcPr>
          <w:p w14:paraId="7381CDEA" w14:textId="77777777" w:rsidR="00E30216" w:rsidRDefault="00000000">
            <w:pPr>
              <w:pStyle w:val="Other0"/>
              <w:shd w:val="clear" w:color="auto" w:fill="auto"/>
              <w:rPr>
                <w:rFonts w:ascii="Arial" w:hAnsi="Arial" w:cs="Arial"/>
              </w:rPr>
            </w:pPr>
            <w:r>
              <w:rPr>
                <w:rFonts w:ascii="Arial" w:hAnsi="Arial" w:cs="Arial"/>
              </w:rPr>
              <w:t>Iznos kredita</w:t>
            </w:r>
          </w:p>
        </w:tc>
        <w:tc>
          <w:tcPr>
            <w:tcW w:w="6941" w:type="dxa"/>
            <w:tcBorders>
              <w:top w:val="single" w:sz="4" w:space="0" w:color="000000"/>
              <w:left w:val="single" w:sz="4" w:space="0" w:color="000000"/>
              <w:right w:val="single" w:sz="4" w:space="0" w:color="000000"/>
            </w:tcBorders>
            <w:shd w:val="clear" w:color="auto" w:fill="FFFFFF"/>
            <w:vAlign w:val="center"/>
          </w:tcPr>
          <w:p w14:paraId="55C56CFD" w14:textId="77777777" w:rsidR="00E30216" w:rsidRDefault="00000000">
            <w:pPr>
              <w:pStyle w:val="Other0"/>
              <w:shd w:val="clear" w:color="auto" w:fill="auto"/>
              <w:rPr>
                <w:rFonts w:ascii="Arial" w:hAnsi="Arial" w:cs="Arial"/>
              </w:rPr>
            </w:pPr>
            <w:r>
              <w:rPr>
                <w:rFonts w:ascii="Arial" w:hAnsi="Arial" w:cs="Arial"/>
              </w:rPr>
              <w:t>Odobreni kredit po jednom korisniku se ograničava na maksimalni iznos do 2.000.000,00 KM (slovima: dvamilionakonvertibilnihmaraka i 00/100)</w:t>
            </w:r>
          </w:p>
        </w:tc>
      </w:tr>
      <w:tr w:rsidR="00E30216" w14:paraId="7D3A1513" w14:textId="77777777">
        <w:trPr>
          <w:trHeight w:hRule="exact" w:val="552"/>
          <w:jc w:val="center"/>
        </w:trPr>
        <w:tc>
          <w:tcPr>
            <w:tcW w:w="2697" w:type="dxa"/>
            <w:tcBorders>
              <w:top w:val="single" w:sz="4" w:space="0" w:color="000000"/>
              <w:left w:val="single" w:sz="4" w:space="0" w:color="000000"/>
            </w:tcBorders>
            <w:shd w:val="clear" w:color="auto" w:fill="FFFFFF"/>
            <w:vAlign w:val="center"/>
          </w:tcPr>
          <w:p w14:paraId="31FF7DC9" w14:textId="77777777" w:rsidR="00E30216" w:rsidRDefault="00000000">
            <w:pPr>
              <w:pStyle w:val="Other0"/>
              <w:shd w:val="clear" w:color="auto" w:fill="auto"/>
              <w:rPr>
                <w:rFonts w:ascii="Arial" w:hAnsi="Arial" w:cs="Arial"/>
              </w:rPr>
            </w:pPr>
            <w:r>
              <w:rPr>
                <w:rFonts w:ascii="Arial" w:hAnsi="Arial" w:cs="Arial"/>
              </w:rPr>
              <w:t>Rok otplate</w:t>
            </w:r>
          </w:p>
        </w:tc>
        <w:tc>
          <w:tcPr>
            <w:tcW w:w="6941" w:type="dxa"/>
            <w:tcBorders>
              <w:top w:val="single" w:sz="4" w:space="0" w:color="000000"/>
              <w:left w:val="single" w:sz="4" w:space="0" w:color="000000"/>
              <w:right w:val="single" w:sz="4" w:space="0" w:color="000000"/>
            </w:tcBorders>
            <w:shd w:val="clear" w:color="auto" w:fill="FFFFFF"/>
            <w:vAlign w:val="center"/>
          </w:tcPr>
          <w:p w14:paraId="31895978" w14:textId="77777777" w:rsidR="00E30216" w:rsidRDefault="00000000">
            <w:pPr>
              <w:pStyle w:val="Other0"/>
              <w:shd w:val="clear" w:color="auto" w:fill="auto"/>
              <w:rPr>
                <w:rFonts w:ascii="Arial" w:hAnsi="Arial" w:cs="Arial"/>
              </w:rPr>
            </w:pPr>
            <w:r>
              <w:rPr>
                <w:rFonts w:ascii="Arial" w:hAnsi="Arial" w:cs="Arial"/>
              </w:rPr>
              <w:t>Do 84 mjeseca, a koji ne uključuje ugovoreni grace period</w:t>
            </w:r>
          </w:p>
        </w:tc>
      </w:tr>
      <w:tr w:rsidR="00E30216" w14:paraId="3B015DDA" w14:textId="77777777">
        <w:trPr>
          <w:trHeight w:hRule="exact" w:val="552"/>
          <w:jc w:val="center"/>
        </w:trPr>
        <w:tc>
          <w:tcPr>
            <w:tcW w:w="2697" w:type="dxa"/>
            <w:tcBorders>
              <w:top w:val="single" w:sz="4" w:space="0" w:color="000000"/>
              <w:left w:val="single" w:sz="4" w:space="0" w:color="000000"/>
            </w:tcBorders>
            <w:shd w:val="clear" w:color="auto" w:fill="FFFFFF"/>
            <w:vAlign w:val="center"/>
          </w:tcPr>
          <w:p w14:paraId="38477ADB" w14:textId="77777777" w:rsidR="00E30216" w:rsidRDefault="00000000">
            <w:pPr>
              <w:pStyle w:val="Other0"/>
              <w:shd w:val="clear" w:color="auto" w:fill="auto"/>
              <w:rPr>
                <w:rFonts w:ascii="Arial" w:hAnsi="Arial" w:cs="Arial"/>
              </w:rPr>
            </w:pPr>
            <w:r>
              <w:rPr>
                <w:rFonts w:ascii="Arial" w:hAnsi="Arial" w:cs="Arial"/>
              </w:rPr>
              <w:t>Grace period</w:t>
            </w:r>
          </w:p>
        </w:tc>
        <w:tc>
          <w:tcPr>
            <w:tcW w:w="6941" w:type="dxa"/>
            <w:tcBorders>
              <w:top w:val="single" w:sz="4" w:space="0" w:color="000000"/>
              <w:left w:val="single" w:sz="4" w:space="0" w:color="000000"/>
              <w:right w:val="single" w:sz="4" w:space="0" w:color="000000"/>
            </w:tcBorders>
            <w:shd w:val="clear" w:color="auto" w:fill="FFFFFF"/>
            <w:vAlign w:val="center"/>
          </w:tcPr>
          <w:p w14:paraId="2940EE44" w14:textId="77777777" w:rsidR="00E30216" w:rsidRDefault="00000000">
            <w:pPr>
              <w:pStyle w:val="Other0"/>
              <w:shd w:val="clear" w:color="auto" w:fill="auto"/>
              <w:rPr>
                <w:rFonts w:ascii="Arial" w:hAnsi="Arial" w:cs="Arial"/>
              </w:rPr>
            </w:pPr>
            <w:r>
              <w:rPr>
                <w:rFonts w:ascii="Arial" w:hAnsi="Arial" w:cs="Arial"/>
              </w:rPr>
              <w:t>12 mjeseci (slovima: dvanaestmjeseci)</w:t>
            </w:r>
          </w:p>
        </w:tc>
      </w:tr>
      <w:tr w:rsidR="00E30216" w14:paraId="292D4870" w14:textId="77777777">
        <w:trPr>
          <w:trHeight w:hRule="exact" w:val="557"/>
          <w:jc w:val="center"/>
        </w:trPr>
        <w:tc>
          <w:tcPr>
            <w:tcW w:w="2697" w:type="dxa"/>
            <w:tcBorders>
              <w:top w:val="single" w:sz="4" w:space="0" w:color="000000"/>
              <w:left w:val="single" w:sz="4" w:space="0" w:color="000000"/>
            </w:tcBorders>
            <w:shd w:val="clear" w:color="auto" w:fill="FFFFFF"/>
            <w:vAlign w:val="center"/>
          </w:tcPr>
          <w:p w14:paraId="3E7A420C" w14:textId="77777777" w:rsidR="00E30216" w:rsidRDefault="00000000">
            <w:pPr>
              <w:pStyle w:val="Other0"/>
              <w:shd w:val="clear" w:color="auto" w:fill="auto"/>
              <w:rPr>
                <w:rFonts w:ascii="Arial" w:hAnsi="Arial" w:cs="Arial"/>
              </w:rPr>
            </w:pPr>
            <w:r>
              <w:rPr>
                <w:rFonts w:ascii="Arial" w:hAnsi="Arial" w:cs="Arial"/>
              </w:rPr>
              <w:t>Visina kamatne stopa</w:t>
            </w:r>
          </w:p>
        </w:tc>
        <w:tc>
          <w:tcPr>
            <w:tcW w:w="6941" w:type="dxa"/>
            <w:tcBorders>
              <w:top w:val="single" w:sz="4" w:space="0" w:color="000000"/>
              <w:left w:val="single" w:sz="4" w:space="0" w:color="000000"/>
              <w:right w:val="single" w:sz="4" w:space="0" w:color="000000"/>
            </w:tcBorders>
            <w:shd w:val="clear" w:color="auto" w:fill="FFFFFF"/>
            <w:vAlign w:val="center"/>
          </w:tcPr>
          <w:p w14:paraId="734495A1" w14:textId="77777777" w:rsidR="00E30216" w:rsidRDefault="00000000">
            <w:pPr>
              <w:pStyle w:val="Other0"/>
              <w:shd w:val="clear" w:color="auto" w:fill="auto"/>
              <w:rPr>
                <w:rFonts w:ascii="Arial" w:hAnsi="Arial" w:cs="Arial"/>
              </w:rPr>
            </w:pPr>
            <w:r>
              <w:rPr>
                <w:rFonts w:ascii="Arial" w:hAnsi="Arial" w:cs="Arial"/>
              </w:rPr>
              <w:t>3,00%</w:t>
            </w:r>
          </w:p>
        </w:tc>
      </w:tr>
      <w:tr w:rsidR="00E30216" w14:paraId="075F6833" w14:textId="77777777">
        <w:trPr>
          <w:trHeight w:hRule="exact" w:val="552"/>
          <w:jc w:val="center"/>
        </w:trPr>
        <w:tc>
          <w:tcPr>
            <w:tcW w:w="2697" w:type="dxa"/>
            <w:tcBorders>
              <w:top w:val="single" w:sz="4" w:space="0" w:color="000000"/>
              <w:left w:val="single" w:sz="4" w:space="0" w:color="000000"/>
            </w:tcBorders>
            <w:shd w:val="clear" w:color="auto" w:fill="FFFFFF"/>
            <w:vAlign w:val="center"/>
          </w:tcPr>
          <w:p w14:paraId="4940A968" w14:textId="77777777" w:rsidR="00E30216" w:rsidRDefault="00000000">
            <w:pPr>
              <w:pStyle w:val="Other0"/>
              <w:shd w:val="clear" w:color="auto" w:fill="auto"/>
              <w:rPr>
                <w:rFonts w:ascii="Arial" w:hAnsi="Arial" w:cs="Arial"/>
              </w:rPr>
            </w:pPr>
            <w:r>
              <w:rPr>
                <w:rFonts w:ascii="Arial" w:hAnsi="Arial" w:cs="Arial"/>
              </w:rPr>
              <w:t>Vrsta kamatne stope</w:t>
            </w:r>
          </w:p>
        </w:tc>
        <w:tc>
          <w:tcPr>
            <w:tcW w:w="6941" w:type="dxa"/>
            <w:tcBorders>
              <w:top w:val="single" w:sz="4" w:space="0" w:color="000000"/>
              <w:left w:val="single" w:sz="4" w:space="0" w:color="000000"/>
              <w:right w:val="single" w:sz="4" w:space="0" w:color="000000"/>
            </w:tcBorders>
            <w:shd w:val="clear" w:color="auto" w:fill="FFFFFF"/>
            <w:vAlign w:val="center"/>
          </w:tcPr>
          <w:p w14:paraId="50AFE7E0" w14:textId="77777777" w:rsidR="00E30216" w:rsidRDefault="00000000">
            <w:pPr>
              <w:pStyle w:val="Other0"/>
              <w:shd w:val="clear" w:color="auto" w:fill="auto"/>
              <w:rPr>
                <w:rFonts w:ascii="Arial" w:hAnsi="Arial" w:cs="Arial"/>
              </w:rPr>
            </w:pPr>
            <w:r>
              <w:rPr>
                <w:rFonts w:ascii="Arial" w:hAnsi="Arial" w:cs="Arial"/>
              </w:rPr>
              <w:t>Fiksna</w:t>
            </w:r>
          </w:p>
        </w:tc>
      </w:tr>
      <w:tr w:rsidR="00E30216" w14:paraId="42069B08" w14:textId="77777777">
        <w:trPr>
          <w:trHeight w:hRule="exact" w:val="1066"/>
          <w:jc w:val="center"/>
        </w:trPr>
        <w:tc>
          <w:tcPr>
            <w:tcW w:w="2697" w:type="dxa"/>
            <w:tcBorders>
              <w:top w:val="single" w:sz="4" w:space="0" w:color="000000"/>
              <w:left w:val="single" w:sz="4" w:space="0" w:color="000000"/>
              <w:bottom w:val="single" w:sz="4" w:space="0" w:color="000000"/>
            </w:tcBorders>
            <w:shd w:val="clear" w:color="auto" w:fill="FFFFFF"/>
            <w:vAlign w:val="center"/>
          </w:tcPr>
          <w:p w14:paraId="722D2E9D" w14:textId="77777777" w:rsidR="00E30216" w:rsidRDefault="00000000">
            <w:pPr>
              <w:pStyle w:val="Other0"/>
              <w:shd w:val="clear" w:color="auto" w:fill="auto"/>
              <w:rPr>
                <w:rFonts w:ascii="Arial" w:hAnsi="Arial" w:cs="Arial"/>
              </w:rPr>
            </w:pPr>
            <w:r>
              <w:rPr>
                <w:rFonts w:ascii="Arial" w:hAnsi="Arial" w:cs="Arial"/>
              </w:rPr>
              <w:lastRenderedPageBreak/>
              <w:t>Visina troškova obrade</w:t>
            </w:r>
          </w:p>
          <w:p w14:paraId="4A621ED1" w14:textId="77777777" w:rsidR="00E30216" w:rsidRDefault="00000000">
            <w:pPr>
              <w:pStyle w:val="Other0"/>
              <w:shd w:val="clear" w:color="auto" w:fill="auto"/>
              <w:rPr>
                <w:rFonts w:ascii="Arial" w:hAnsi="Arial" w:cs="Arial"/>
              </w:rPr>
            </w:pPr>
            <w:r>
              <w:rPr>
                <w:rFonts w:ascii="Arial" w:hAnsi="Arial" w:cs="Arial"/>
              </w:rPr>
              <w:t>kredita/Naknada za obradu kredita</w:t>
            </w:r>
          </w:p>
        </w:tc>
        <w:tc>
          <w:tcPr>
            <w:tcW w:w="6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136A" w14:textId="77777777" w:rsidR="00E30216" w:rsidRDefault="00000000">
            <w:pPr>
              <w:pStyle w:val="Other0"/>
              <w:shd w:val="clear" w:color="auto" w:fill="auto"/>
              <w:rPr>
                <w:rFonts w:ascii="Arial" w:hAnsi="Arial" w:cs="Arial"/>
              </w:rPr>
            </w:pPr>
            <w:r>
              <w:rPr>
                <w:rFonts w:ascii="Arial" w:hAnsi="Arial" w:cs="Arial"/>
              </w:rPr>
              <w:t>0% od iznosa kredita</w:t>
            </w:r>
          </w:p>
        </w:tc>
      </w:tr>
    </w:tbl>
    <w:p w14:paraId="12764D5D" w14:textId="77777777" w:rsidR="00E30216" w:rsidRDefault="00E30216">
      <w:pPr>
        <w:pStyle w:val="Heading20"/>
        <w:keepNext/>
        <w:keepLines/>
        <w:shd w:val="clear" w:color="auto" w:fill="auto"/>
        <w:tabs>
          <w:tab w:val="left" w:pos="382"/>
        </w:tabs>
        <w:spacing w:after="0"/>
        <w:ind w:left="380"/>
        <w:rPr>
          <w:rFonts w:ascii="Arial" w:hAnsi="Arial" w:cs="Arial"/>
        </w:rPr>
      </w:pPr>
    </w:p>
    <w:p w14:paraId="5F8298E3"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r>
        <w:rPr>
          <w:rFonts w:ascii="Arial" w:hAnsi="Arial" w:cs="Arial"/>
        </w:rPr>
        <w:t>KOLATERALI</w:t>
      </w:r>
    </w:p>
    <w:p w14:paraId="30302DD5" w14:textId="77777777" w:rsidR="00E30216" w:rsidRDefault="00000000">
      <w:pPr>
        <w:pStyle w:val="Tijeloteksta"/>
        <w:shd w:val="clear" w:color="auto" w:fill="auto"/>
        <w:rPr>
          <w:rFonts w:ascii="Arial" w:hAnsi="Arial" w:cs="Arial"/>
        </w:rPr>
      </w:pPr>
      <w:r>
        <w:rPr>
          <w:rFonts w:ascii="Arial" w:hAnsi="Arial" w:cs="Arial"/>
        </w:rPr>
        <w:t>Korisnici sredstava obavezni su osigurati određenu/propisanu vrstu kolaterala kao obezbjeđenje kreditiranja u ovoj kreditnoj liniji. Vrsta kolaterala će zavisiti od kreditne sposobnosti Korisnika sredstava, iznosa kreditiranja i drugih parametara određenih od strane NLB Banke d.d., Sarajevo, koji su neophodni za odobravanje kreditnih sredstava u skladu sa internim aktima NLB Banke d.d., Sarajevo i drugim propisima relevantnim za odobravanje i realizaciju kreditnih sredstva. Uobičajene vrste kolaterala koje NLB Banka d.d., Sarajevo prihvata su:</w:t>
      </w:r>
    </w:p>
    <w:p w14:paraId="435B1766" w14:textId="77777777" w:rsidR="00E30216" w:rsidRDefault="00000000">
      <w:pPr>
        <w:pStyle w:val="Tijeloteksta"/>
        <w:numPr>
          <w:ilvl w:val="0"/>
          <w:numId w:val="7"/>
        </w:numPr>
        <w:shd w:val="clear" w:color="auto" w:fill="auto"/>
        <w:tabs>
          <w:tab w:val="left" w:pos="387"/>
        </w:tabs>
        <w:ind w:left="380" w:hanging="380"/>
        <w:rPr>
          <w:rFonts w:ascii="Arial" w:hAnsi="Arial" w:cs="Arial"/>
        </w:rPr>
      </w:pPr>
      <w:r>
        <w:rPr>
          <w:rFonts w:ascii="Arial" w:hAnsi="Arial" w:cs="Arial"/>
        </w:rPr>
        <w:t>Založno pravo na nekretnine;</w:t>
      </w:r>
    </w:p>
    <w:p w14:paraId="189D87C9" w14:textId="77777777" w:rsidR="00E30216" w:rsidRDefault="00000000">
      <w:pPr>
        <w:pStyle w:val="Tijeloteksta"/>
        <w:numPr>
          <w:ilvl w:val="0"/>
          <w:numId w:val="7"/>
        </w:numPr>
        <w:shd w:val="clear" w:color="auto" w:fill="auto"/>
        <w:tabs>
          <w:tab w:val="left" w:pos="402"/>
        </w:tabs>
        <w:ind w:left="380" w:hanging="380"/>
        <w:rPr>
          <w:rFonts w:ascii="Arial" w:hAnsi="Arial" w:cs="Arial"/>
        </w:rPr>
      </w:pPr>
      <w:r>
        <w:rPr>
          <w:rFonts w:ascii="Arial" w:hAnsi="Arial" w:cs="Arial"/>
        </w:rPr>
        <w:t>Založno pravo na pokretnim stvarima;</w:t>
      </w:r>
    </w:p>
    <w:p w14:paraId="6E6EFACA" w14:textId="77777777" w:rsidR="00E30216" w:rsidRDefault="00000000">
      <w:pPr>
        <w:pStyle w:val="Tijeloteksta"/>
        <w:numPr>
          <w:ilvl w:val="0"/>
          <w:numId w:val="7"/>
        </w:numPr>
        <w:shd w:val="clear" w:color="auto" w:fill="auto"/>
        <w:tabs>
          <w:tab w:val="left" w:pos="387"/>
        </w:tabs>
        <w:ind w:left="380" w:hanging="380"/>
        <w:rPr>
          <w:rFonts w:ascii="Arial" w:hAnsi="Arial" w:cs="Arial"/>
        </w:rPr>
      </w:pPr>
      <w:r>
        <w:rPr>
          <w:rFonts w:ascii="Arial" w:hAnsi="Arial" w:cs="Arial"/>
        </w:rPr>
        <w:t>Mjenice korisnika kreditnih sredstava;</w:t>
      </w:r>
    </w:p>
    <w:p w14:paraId="3298103E" w14:textId="77777777" w:rsidR="00E30216" w:rsidRDefault="00000000">
      <w:pPr>
        <w:pStyle w:val="Tijeloteksta"/>
        <w:numPr>
          <w:ilvl w:val="0"/>
          <w:numId w:val="7"/>
        </w:numPr>
        <w:shd w:val="clear" w:color="auto" w:fill="auto"/>
        <w:tabs>
          <w:tab w:val="left" w:pos="402"/>
        </w:tabs>
        <w:ind w:left="380" w:hanging="380"/>
        <w:rPr>
          <w:rFonts w:ascii="Arial" w:hAnsi="Arial" w:cs="Arial"/>
        </w:rPr>
      </w:pPr>
      <w:r>
        <w:rPr>
          <w:rFonts w:ascii="Arial" w:hAnsi="Arial" w:cs="Arial"/>
        </w:rPr>
        <w:t>Lične mjenice vlasnika korisnika kreditnih sredstava;</w:t>
      </w:r>
    </w:p>
    <w:p w14:paraId="0EB3F3EB" w14:textId="77777777" w:rsidR="00E30216" w:rsidRDefault="00000000">
      <w:pPr>
        <w:pStyle w:val="Tijeloteksta"/>
        <w:numPr>
          <w:ilvl w:val="0"/>
          <w:numId w:val="7"/>
        </w:numPr>
        <w:shd w:val="clear" w:color="auto" w:fill="auto"/>
        <w:tabs>
          <w:tab w:val="left" w:pos="387"/>
        </w:tabs>
        <w:ind w:left="380" w:hanging="380"/>
        <w:rPr>
          <w:rFonts w:ascii="Arial" w:hAnsi="Arial" w:cs="Arial"/>
        </w:rPr>
      </w:pPr>
      <w:r>
        <w:rPr>
          <w:rFonts w:ascii="Arial" w:hAnsi="Arial" w:cs="Arial"/>
        </w:rPr>
        <w:t>Ugovor o asignaciji;</w:t>
      </w:r>
    </w:p>
    <w:p w14:paraId="28A1263C" w14:textId="77777777" w:rsidR="00E30216" w:rsidRDefault="00000000">
      <w:pPr>
        <w:pStyle w:val="Tijeloteksta"/>
        <w:numPr>
          <w:ilvl w:val="0"/>
          <w:numId w:val="7"/>
        </w:numPr>
        <w:shd w:val="clear" w:color="auto" w:fill="auto"/>
        <w:tabs>
          <w:tab w:val="left" w:pos="358"/>
        </w:tabs>
        <w:ind w:left="380" w:hanging="380"/>
        <w:rPr>
          <w:rFonts w:ascii="Arial" w:hAnsi="Arial" w:cs="Arial"/>
        </w:rPr>
      </w:pPr>
      <w:r>
        <w:rPr>
          <w:rFonts w:ascii="Arial" w:hAnsi="Arial" w:cs="Arial"/>
        </w:rPr>
        <w:t>Polisa osiguranja vinkulirana u korist NLB Banka d.d., Sarajevo;</w:t>
      </w:r>
    </w:p>
    <w:p w14:paraId="4944978D" w14:textId="77777777" w:rsidR="00E30216" w:rsidRDefault="00000000">
      <w:pPr>
        <w:pStyle w:val="Tijeloteksta"/>
        <w:numPr>
          <w:ilvl w:val="0"/>
          <w:numId w:val="7"/>
        </w:numPr>
        <w:shd w:val="clear" w:color="auto" w:fill="auto"/>
        <w:tabs>
          <w:tab w:val="left" w:pos="402"/>
        </w:tabs>
        <w:ind w:left="380" w:hanging="380"/>
        <w:rPr>
          <w:rFonts w:ascii="Arial" w:hAnsi="Arial" w:cs="Arial"/>
        </w:rPr>
      </w:pPr>
      <w:r>
        <w:rPr>
          <w:rFonts w:ascii="Arial" w:hAnsi="Arial" w:cs="Arial"/>
        </w:rPr>
        <w:t>Ostalo.</w:t>
      </w:r>
    </w:p>
    <w:p w14:paraId="6776C833" w14:textId="77777777" w:rsidR="00E30216" w:rsidRDefault="00E30216">
      <w:pPr>
        <w:rPr>
          <w:rFonts w:cs="Arial"/>
          <w:b/>
          <w:highlight w:val="yellow"/>
        </w:rPr>
      </w:pPr>
    </w:p>
    <w:p w14:paraId="52EB2D69"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r>
        <w:rPr>
          <w:rFonts w:ascii="Arial" w:hAnsi="Arial" w:cs="Arial"/>
        </w:rPr>
        <w:t xml:space="preserve">ODOBRAVANJE KREDITNIH SREDSTAVA  </w:t>
      </w:r>
    </w:p>
    <w:p w14:paraId="2339E9AA" w14:textId="77777777" w:rsidR="00E30216" w:rsidRDefault="00000000">
      <w:pPr>
        <w:pStyle w:val="Tijeloteksta"/>
        <w:shd w:val="clear" w:color="auto" w:fill="auto"/>
        <w:rPr>
          <w:rFonts w:ascii="Arial" w:hAnsi="Arial" w:cs="Arial"/>
        </w:rPr>
      </w:pPr>
      <w:r>
        <w:rPr>
          <w:rFonts w:ascii="Arial" w:hAnsi="Arial" w:cs="Arial"/>
        </w:rPr>
        <w:t xml:space="preserve">Odobravanje kreditnih sredstva vrši NLB Banka d.d., Sarajevo u skladu sa kreditnom politikom i internim aktima NLB Banke d.d., Sarajevo. Prioritet u ostvarivanju prava na poticajna kreditna sredstva imaju oni subjekti koji u podnesenom zahtjevu za kreditna sredstva navedu da će obezbijediti nova zapošljavanja. Podnosilac zahtjeva za kreditna sredstva uz subvenciju kamate može ostvariti pravo na kreditna sredstva samo kod jedne banke </w:t>
      </w:r>
      <w:r>
        <w:rPr>
          <w:rFonts w:ascii="Arial" w:hAnsi="Arial" w:cs="Arial"/>
          <w:color w:val="00000A"/>
        </w:rPr>
        <w:t xml:space="preserve">koja je izabrana Odlukom Vlade </w:t>
      </w:r>
      <w:r>
        <w:rPr>
          <w:rFonts w:ascii="Arial" w:hAnsi="Arial" w:cs="Arial"/>
        </w:rPr>
        <w:t>Kantona Sarajevo, broj: 02-04-56987/25 od 18.12.2025.</w:t>
      </w:r>
    </w:p>
    <w:p w14:paraId="7FC5F466" w14:textId="77777777" w:rsidR="00E30216" w:rsidRDefault="00E30216">
      <w:pPr>
        <w:rPr>
          <w:rFonts w:cs="Arial"/>
          <w:b/>
          <w:highlight w:val="yellow"/>
          <w:lang w:val="sr-Latn-BA"/>
        </w:rPr>
      </w:pPr>
    </w:p>
    <w:p w14:paraId="683DDE7E"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r>
        <w:rPr>
          <w:rFonts w:ascii="Arial" w:hAnsi="Arial" w:cs="Arial"/>
        </w:rPr>
        <w:t>INFORMACIJE O USLOVIMA ISPLATE SUBVENCIJE</w:t>
      </w:r>
    </w:p>
    <w:p w14:paraId="288D8847" w14:textId="77777777" w:rsidR="00E30216" w:rsidRDefault="00000000">
      <w:pPr>
        <w:pStyle w:val="Tijeloteksta"/>
        <w:shd w:val="clear" w:color="auto" w:fill="auto"/>
        <w:rPr>
          <w:rFonts w:ascii="Arial" w:hAnsi="Arial" w:cs="Arial"/>
        </w:rPr>
      </w:pPr>
      <w:r>
        <w:rPr>
          <w:rFonts w:ascii="Arial" w:hAnsi="Arial" w:cs="Arial"/>
          <w:color w:val="00000A"/>
        </w:rPr>
        <w:t xml:space="preserve">Korisnik kreditnih sredstava je obavezan da </w:t>
      </w:r>
      <w:r>
        <w:rPr>
          <w:rFonts w:ascii="Arial" w:hAnsi="Arial" w:cs="Arial"/>
        </w:rPr>
        <w:t xml:space="preserve">NLB Banci d.d., Sarajevo </w:t>
      </w:r>
      <w:r>
        <w:rPr>
          <w:rFonts w:ascii="Arial" w:hAnsi="Arial" w:cs="Arial"/>
          <w:color w:val="00000A"/>
        </w:rPr>
        <w:t xml:space="preserve">dostavi i redovno dostavlja svu potrebnu dokumentaciju u svrhu dokaza ispunjenja uslova iz ugovora zaključenog između </w:t>
      </w:r>
      <w:r>
        <w:rPr>
          <w:rFonts w:ascii="Arial" w:hAnsi="Arial" w:cs="Arial"/>
        </w:rPr>
        <w:t xml:space="preserve">NLB Banke d.d., Sarajevo </w:t>
      </w:r>
      <w:r>
        <w:rPr>
          <w:rFonts w:ascii="Arial" w:hAnsi="Arial" w:cs="Arial"/>
          <w:color w:val="00000A"/>
        </w:rPr>
        <w:t>i Korisnika kreditnih sredstava za ostvarivanja prava na subvencioniranu kamatnu stopu.</w:t>
      </w:r>
    </w:p>
    <w:p w14:paraId="58B1D2F9" w14:textId="77777777" w:rsidR="00E30216" w:rsidRDefault="00000000">
      <w:pPr>
        <w:pStyle w:val="Tijeloteksta"/>
        <w:shd w:val="clear" w:color="auto" w:fill="auto"/>
        <w:rPr>
          <w:rFonts w:ascii="Arial" w:hAnsi="Arial" w:cs="Arial"/>
        </w:rPr>
      </w:pPr>
      <w:r>
        <w:rPr>
          <w:rFonts w:ascii="Arial" w:hAnsi="Arial" w:cs="Arial"/>
          <w:color w:val="00000A"/>
        </w:rPr>
        <w:t xml:space="preserve">Korisnik kreditnih sredstava je u obavezi da </w:t>
      </w:r>
      <w:r>
        <w:rPr>
          <w:rFonts w:ascii="Arial" w:hAnsi="Arial" w:cs="Arial"/>
        </w:rPr>
        <w:t xml:space="preserve">NLB Banci d.d., Sarajevo </w:t>
      </w:r>
      <w:r>
        <w:rPr>
          <w:rFonts w:ascii="Arial" w:hAnsi="Arial" w:cs="Arial"/>
          <w:color w:val="00000A"/>
        </w:rPr>
        <w:t>dostavlja '“Izvještaj o implementaciji dodijeljenih sredstava'“ i svu prateću/neophodnu dokumentaciju, kojim putem će se moći utvrditi uredno izvršavanje obaveza, uključujući namjensko trošenje kreditnih sredstava, uredno izmirenje obaveza plaćanja poreza i doprinosa.</w:t>
      </w:r>
    </w:p>
    <w:p w14:paraId="38F789BA" w14:textId="77777777" w:rsidR="00E30216" w:rsidRDefault="00000000">
      <w:pPr>
        <w:pStyle w:val="Tijeloteksta"/>
        <w:shd w:val="clear" w:color="auto" w:fill="auto"/>
        <w:rPr>
          <w:rFonts w:ascii="Arial" w:hAnsi="Arial" w:cs="Arial"/>
        </w:rPr>
      </w:pPr>
      <w:r>
        <w:rPr>
          <w:rFonts w:ascii="Arial" w:hAnsi="Arial" w:cs="Arial"/>
          <w:color w:val="00000A"/>
        </w:rPr>
        <w:t xml:space="preserve">Za sva odobrena kreditiranja vršit će se monitoring od strane </w:t>
      </w:r>
      <w:r>
        <w:rPr>
          <w:rFonts w:ascii="Arial" w:hAnsi="Arial" w:cs="Arial"/>
        </w:rPr>
        <w:t xml:space="preserve">NLB Banka d.d., Sarajevo </w:t>
      </w:r>
      <w:r>
        <w:rPr>
          <w:rFonts w:ascii="Arial" w:hAnsi="Arial" w:cs="Arial"/>
          <w:color w:val="00000A"/>
        </w:rPr>
        <w:t>na kvartalnom nivou, a po potrebi i češće. Monitoring se provodi do kraja narednog kvartala za protekli kvartal, o čemu NLB Banka d.d., Sarajevo izvještava Ministarstvo. Subvencije se obračunavaju i isplaćuju kvartalno, na bazi prethodno urađenog monitoringa.</w:t>
      </w:r>
    </w:p>
    <w:p w14:paraId="0B6B744C" w14:textId="77777777" w:rsidR="00E30216" w:rsidRDefault="00000000">
      <w:pPr>
        <w:pStyle w:val="Tijeloteksta"/>
        <w:shd w:val="clear" w:color="auto" w:fill="auto"/>
        <w:ind w:left="380" w:hanging="380"/>
        <w:rPr>
          <w:rFonts w:ascii="Arial" w:hAnsi="Arial" w:cs="Arial"/>
        </w:rPr>
      </w:pPr>
      <w:r>
        <w:rPr>
          <w:rFonts w:ascii="Arial" w:hAnsi="Arial" w:cs="Arial"/>
          <w:color w:val="00000A"/>
        </w:rPr>
        <w:t>Uslovi za isplatu subvencije kamate u ovoj kreditnoj liniji su:</w:t>
      </w:r>
    </w:p>
    <w:p w14:paraId="34594547" w14:textId="77777777" w:rsidR="00E30216" w:rsidRDefault="00000000">
      <w:pPr>
        <w:pStyle w:val="Tijeloteksta"/>
        <w:numPr>
          <w:ilvl w:val="0"/>
          <w:numId w:val="6"/>
        </w:numPr>
        <w:shd w:val="clear" w:color="auto" w:fill="auto"/>
        <w:tabs>
          <w:tab w:val="left" w:pos="767"/>
        </w:tabs>
        <w:ind w:left="380"/>
        <w:rPr>
          <w:rFonts w:ascii="Arial" w:hAnsi="Arial" w:cs="Arial"/>
        </w:rPr>
      </w:pPr>
      <w:r>
        <w:rPr>
          <w:rFonts w:ascii="Arial" w:hAnsi="Arial" w:cs="Arial"/>
          <w:color w:val="00000A"/>
        </w:rPr>
        <w:t>uredno izmirivanje svih poreznih obaveza i obaveza za doprinose,</w:t>
      </w:r>
    </w:p>
    <w:p w14:paraId="5FC37B13" w14:textId="77777777" w:rsidR="00E30216" w:rsidRDefault="00000000">
      <w:pPr>
        <w:pStyle w:val="Tijeloteksta"/>
        <w:numPr>
          <w:ilvl w:val="0"/>
          <w:numId w:val="6"/>
        </w:numPr>
        <w:shd w:val="clear" w:color="auto" w:fill="auto"/>
        <w:tabs>
          <w:tab w:val="left" w:pos="782"/>
        </w:tabs>
        <w:ind w:left="380"/>
        <w:rPr>
          <w:rFonts w:ascii="Arial" w:hAnsi="Arial" w:cs="Arial"/>
        </w:rPr>
      </w:pPr>
      <w:r>
        <w:rPr>
          <w:rFonts w:ascii="Arial" w:hAnsi="Arial" w:cs="Arial"/>
          <w:color w:val="00000A"/>
        </w:rPr>
        <w:t>zadržavanje minimalno 70% od broja zaposlenih u odnosu na dan podnošenja zahtjeva za</w:t>
      </w:r>
    </w:p>
    <w:p w14:paraId="69557046" w14:textId="77777777" w:rsidR="00E30216" w:rsidRDefault="00000000">
      <w:pPr>
        <w:pStyle w:val="Tijeloteksta"/>
        <w:shd w:val="clear" w:color="auto" w:fill="auto"/>
        <w:ind w:left="740"/>
        <w:rPr>
          <w:rFonts w:ascii="Arial" w:hAnsi="Arial" w:cs="Arial"/>
        </w:rPr>
      </w:pPr>
      <w:r>
        <w:rPr>
          <w:rFonts w:ascii="Arial" w:hAnsi="Arial" w:cs="Arial"/>
          <w:color w:val="00000A"/>
        </w:rPr>
        <w:t>kreditna sredstva,</w:t>
      </w:r>
    </w:p>
    <w:p w14:paraId="0DC12E9C" w14:textId="77777777" w:rsidR="00E30216" w:rsidRDefault="00000000">
      <w:pPr>
        <w:pStyle w:val="Tijeloteksta"/>
        <w:numPr>
          <w:ilvl w:val="0"/>
          <w:numId w:val="6"/>
        </w:numPr>
        <w:shd w:val="clear" w:color="auto" w:fill="auto"/>
        <w:tabs>
          <w:tab w:val="left" w:pos="767"/>
        </w:tabs>
        <w:ind w:left="740" w:hanging="360"/>
        <w:rPr>
          <w:rFonts w:ascii="Arial" w:hAnsi="Arial" w:cs="Arial"/>
        </w:rPr>
      </w:pPr>
      <w:r>
        <w:rPr>
          <w:rFonts w:ascii="Arial" w:hAnsi="Arial" w:cs="Arial"/>
          <w:color w:val="00000A"/>
        </w:rPr>
        <w:t>obezbjeđenje novog/ih zapošljavanja ukoliko su navedena u zahtjevu za kredit ako je time stečen prioritet u postupku ostvarenja prava na poticajna kreditna sredstva i</w:t>
      </w:r>
    </w:p>
    <w:p w14:paraId="4725CFD8" w14:textId="77777777" w:rsidR="00E30216" w:rsidRDefault="00000000">
      <w:pPr>
        <w:pStyle w:val="Tijeloteksta"/>
        <w:numPr>
          <w:ilvl w:val="0"/>
          <w:numId w:val="6"/>
        </w:numPr>
        <w:shd w:val="clear" w:color="auto" w:fill="auto"/>
        <w:tabs>
          <w:tab w:val="left" w:pos="782"/>
        </w:tabs>
        <w:ind w:left="380"/>
        <w:rPr>
          <w:rFonts w:ascii="Arial" w:hAnsi="Arial" w:cs="Arial"/>
        </w:rPr>
      </w:pPr>
      <w:r>
        <w:rPr>
          <w:rFonts w:ascii="Arial" w:hAnsi="Arial" w:cs="Arial"/>
          <w:color w:val="00000A"/>
        </w:rPr>
        <w:t>uredno izmirivanje dospjelih obaveza u otplati kreditnih sredstava.</w:t>
      </w:r>
    </w:p>
    <w:p w14:paraId="10A35BA7" w14:textId="77777777" w:rsidR="00E30216" w:rsidRDefault="00E30216">
      <w:pPr>
        <w:rPr>
          <w:rFonts w:cs="Arial"/>
          <w:b/>
          <w:highlight w:val="yellow"/>
          <w:lang w:val="sr-Latn-BA"/>
        </w:rPr>
      </w:pPr>
    </w:p>
    <w:p w14:paraId="4870CA48" w14:textId="07FFD906" w:rsidR="00414EAF" w:rsidRPr="00C338C5" w:rsidRDefault="00000000">
      <w:pPr>
        <w:jc w:val="both"/>
        <w:rPr>
          <w:rFonts w:cs="Arial"/>
          <w:bCs/>
          <w:lang w:val="sr-Latn-BA"/>
        </w:rPr>
      </w:pPr>
      <w:r>
        <w:rPr>
          <w:rFonts w:cs="Arial"/>
          <w:bCs/>
          <w:lang w:val="sr-Latn-BA"/>
        </w:rPr>
        <w:t>NLB Banka d.d., Sarajevo prema Korisniku kreditnih sredstava nema obavezu refundacije ili umanjenja kamatne stope u slučaju da Ministarstvo iz opravdanog razloga NLB Banci d.d., Sarajevo ne odobri i o tome pismeno obavijesti NLB Banku d.d., Sarajevo da se ne subvencionira iznos kamate za Korisnika kreditnih sredstava. U tom slučaju NLB Banka d.d., Sarajevo neće vršiti refundaciju subvencionirane kamatne stope Korisniku kreditnih sredstava. Korisnik kreditnih sredstava koji nije ispunio ugovorne obaveze/uslove, bit će obaviješten od strane NLB Banke d.d., Sarajevo da nije stekao pravo na subvencioniranu kamatnu stopu i da ista Korisniku kreditnih sredstava neće biti refundirana</w:t>
      </w:r>
      <w:r w:rsidR="00414EAF">
        <w:rPr>
          <w:rFonts w:cs="Arial"/>
          <w:bCs/>
          <w:lang w:val="sr-Latn-BA"/>
        </w:rPr>
        <w:t xml:space="preserve">, u kom slučaju </w:t>
      </w:r>
      <w:r w:rsidR="00414EAF" w:rsidRPr="00414EAF">
        <w:rPr>
          <w:rFonts w:cs="Arial"/>
          <w:bCs/>
          <w:lang w:val="sr-Latn-BA"/>
        </w:rPr>
        <w:t xml:space="preserve">NLB Banka d.d., Sarajevo vrši obračun </w:t>
      </w:r>
      <w:r w:rsidR="00195BF0">
        <w:rPr>
          <w:rFonts w:cs="Arial"/>
          <w:bCs/>
          <w:lang w:val="sr-Latn-BA"/>
        </w:rPr>
        <w:t xml:space="preserve">i naplatu </w:t>
      </w:r>
      <w:r w:rsidR="00414EAF" w:rsidRPr="00414EAF">
        <w:rPr>
          <w:rFonts w:cs="Arial"/>
          <w:bCs/>
          <w:lang w:val="sr-Latn-BA"/>
        </w:rPr>
        <w:t xml:space="preserve">kamatne stope Korisniku sredstava prema </w:t>
      </w:r>
      <w:r w:rsidR="00414EAF" w:rsidRPr="00414EAF">
        <w:rPr>
          <w:rFonts w:cs="Arial"/>
          <w:bCs/>
          <w:lang w:val="sr-Latn-BA"/>
        </w:rPr>
        <w:lastRenderedPageBreak/>
        <w:t>osnovnoj stopi iz ugovora koji je NLB Banka d.d., Sarajevo zaključila sa Korisnikom sredstava</w:t>
      </w:r>
      <w:r w:rsidR="00C71FB0">
        <w:rPr>
          <w:rFonts w:cs="Arial"/>
          <w:bCs/>
          <w:lang w:val="sr-Latn-BA"/>
        </w:rPr>
        <w:t xml:space="preserve"> </w:t>
      </w:r>
      <w:r w:rsidR="00C71FB0" w:rsidRPr="00C338C5">
        <w:rPr>
          <w:rFonts w:cs="Arial"/>
          <w:bCs/>
          <w:lang w:val="sr-Latn-BA"/>
        </w:rPr>
        <w:t>i to za odnosni kvartal u kojem nisu ispunjeni predmetni uslovi</w:t>
      </w:r>
      <w:r w:rsidR="00414EAF" w:rsidRPr="00C338C5">
        <w:rPr>
          <w:rFonts w:cs="Arial"/>
          <w:bCs/>
          <w:lang w:val="sr-Latn-BA"/>
        </w:rPr>
        <w:t>.</w:t>
      </w:r>
    </w:p>
    <w:p w14:paraId="63C4BA2F" w14:textId="77777777" w:rsidR="00414EAF" w:rsidRPr="00C338C5" w:rsidRDefault="00414EAF">
      <w:pPr>
        <w:jc w:val="both"/>
        <w:rPr>
          <w:rFonts w:cs="Arial"/>
          <w:bCs/>
          <w:lang w:val="sr-Latn-BA"/>
        </w:rPr>
      </w:pPr>
    </w:p>
    <w:p w14:paraId="1FD1ADC1" w14:textId="5255AA2B" w:rsidR="00E30216" w:rsidRDefault="00000000">
      <w:pPr>
        <w:pStyle w:val="Tijeloteksta"/>
        <w:rPr>
          <w:rFonts w:ascii="Arial" w:hAnsi="Arial" w:cs="Arial"/>
        </w:rPr>
      </w:pPr>
      <w:r w:rsidRPr="00195BF0">
        <w:rPr>
          <w:rFonts w:ascii="Arial" w:hAnsi="Arial" w:cs="Arial"/>
          <w:bCs/>
          <w:lang w:eastAsia="en-US"/>
        </w:rPr>
        <w:t>U slučaju da se u bilo kojem trenutku trajanja Ugovora o kreditu utvrdi da Korisnik kreditnih</w:t>
      </w:r>
      <w:r w:rsidR="00195BF0" w:rsidRPr="00195BF0">
        <w:rPr>
          <w:rFonts w:ascii="Arial" w:hAnsi="Arial" w:cs="Arial"/>
          <w:bCs/>
          <w:lang w:eastAsia="en-US"/>
        </w:rPr>
        <w:t xml:space="preserve"> sredstava</w:t>
      </w:r>
      <w:r w:rsidRPr="00195BF0">
        <w:rPr>
          <w:rFonts w:ascii="Arial" w:hAnsi="Arial" w:cs="Arial"/>
          <w:bCs/>
          <w:lang w:eastAsia="en-US"/>
        </w:rPr>
        <w:t xml:space="preserve"> nije koristio kreditna sredstva za namjenu definisanu Ugovorom</w:t>
      </w:r>
      <w:r w:rsidR="00195BF0" w:rsidRPr="00195BF0">
        <w:rPr>
          <w:rFonts w:ascii="Arial" w:hAnsi="Arial" w:cs="Arial"/>
          <w:bCs/>
          <w:lang w:eastAsia="en-US"/>
        </w:rPr>
        <w:t xml:space="preserve"> (obezbjeđenje tekuće likvidnosti, produktivnije poslovanje i rast privrednih aktivnosti, kao i za finansiranje za trajna obrtna sredstva) </w:t>
      </w:r>
      <w:r>
        <w:rPr>
          <w:rFonts w:ascii="Arial" w:hAnsi="Arial" w:cs="Arial"/>
        </w:rPr>
        <w:t>Korisnik kreditnih sredstava se obavezuje izvršiti povrat ukupnog iznosa refundiranih sredstava na ime subvencije kamate.</w:t>
      </w:r>
    </w:p>
    <w:p w14:paraId="4A0391C4" w14:textId="77777777" w:rsidR="00E30216" w:rsidRDefault="00E30216">
      <w:pPr>
        <w:rPr>
          <w:rFonts w:cs="Arial"/>
        </w:rPr>
      </w:pPr>
    </w:p>
    <w:p w14:paraId="05FBDF14"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3" w:name="bookmark8"/>
      <w:r>
        <w:rPr>
          <w:rFonts w:ascii="Arial" w:hAnsi="Arial" w:cs="Arial"/>
        </w:rPr>
        <w:t>POTREBNA DOKUMENTACIJA ZA SUBJEKTE MALE PRIVREDE</w:t>
      </w:r>
      <w:bookmarkEnd w:id="3"/>
    </w:p>
    <w:p w14:paraId="2AA9B1B2" w14:textId="77777777" w:rsidR="00E30216" w:rsidRDefault="00000000">
      <w:pPr>
        <w:pStyle w:val="Odlomakpopisa"/>
        <w:numPr>
          <w:ilvl w:val="0"/>
          <w:numId w:val="8"/>
        </w:numPr>
        <w:jc w:val="both"/>
        <w:rPr>
          <w:rFonts w:cs="Arial"/>
        </w:rPr>
      </w:pPr>
      <w:r>
        <w:rPr>
          <w:rFonts w:cs="Arial"/>
        </w:rPr>
        <w:t>Dokumentacija potrebna za otvaranje računa u skladu sa aktima NLB Banke d.d., Sarajevo, ukoliko podnosilac zahtjeva nema otvoren račun kod NLB Banke d.d., Sarajevo, koja se nalazi se na stranici NLB Banke d.d., Sarajevo: www.nlb-fbih.ba/pravna-lica/svakodnevno-poslovanje/nlb-paketi-proizvoda;</w:t>
      </w:r>
    </w:p>
    <w:p w14:paraId="4B12D2AE" w14:textId="77777777" w:rsidR="00E30216" w:rsidRDefault="00000000">
      <w:pPr>
        <w:pStyle w:val="Tijeloteksta"/>
        <w:numPr>
          <w:ilvl w:val="0"/>
          <w:numId w:val="8"/>
        </w:numPr>
        <w:shd w:val="clear" w:color="auto" w:fill="auto"/>
        <w:rPr>
          <w:rFonts w:ascii="Arial" w:hAnsi="Arial" w:cs="Arial"/>
        </w:rPr>
      </w:pPr>
      <w:r>
        <w:rPr>
          <w:rFonts w:ascii="Arial" w:hAnsi="Arial" w:cs="Arial"/>
        </w:rPr>
        <w:t>Zahtjev za kredit sa pečatom i potpisom ovlaštenog lica koji zahtjev se može preuzeti u prostorijama NLB Banke d.d., Sarajevo;</w:t>
      </w:r>
    </w:p>
    <w:p w14:paraId="2C292EF6" w14:textId="77777777" w:rsidR="00E30216" w:rsidRDefault="00000000">
      <w:pPr>
        <w:pStyle w:val="Tijeloteksta"/>
        <w:numPr>
          <w:ilvl w:val="0"/>
          <w:numId w:val="8"/>
        </w:numPr>
        <w:shd w:val="clear" w:color="auto" w:fill="auto"/>
        <w:rPr>
          <w:rFonts w:ascii="Arial" w:hAnsi="Arial" w:cs="Arial"/>
        </w:rPr>
      </w:pPr>
      <w:r>
        <w:rPr>
          <w:rFonts w:ascii="Arial" w:hAnsi="Arial" w:cs="Arial"/>
        </w:rPr>
        <w:t>Izjava subjekta male privrede da je zahtjev za kredit po ovoj kreditnoj liniji podnio samo kod NLB  Banke d.d., Sarajevo koja je izabrana Odlukom Vlade Kantona Sarajevo, broj: 02-04-56987/25 od 18.12.2025. godine, a koja Izjava je sastavni dio zahtjeva za kredit;</w:t>
      </w:r>
    </w:p>
    <w:p w14:paraId="42FB4D5D" w14:textId="77777777" w:rsidR="00E30216" w:rsidRDefault="00000000">
      <w:pPr>
        <w:pStyle w:val="Tijeloteksta"/>
        <w:numPr>
          <w:ilvl w:val="0"/>
          <w:numId w:val="8"/>
        </w:numPr>
        <w:shd w:val="clear" w:color="auto" w:fill="auto"/>
        <w:rPr>
          <w:rFonts w:ascii="Arial" w:hAnsi="Arial" w:cs="Arial"/>
        </w:rPr>
      </w:pPr>
      <w:r>
        <w:rPr>
          <w:rFonts w:ascii="Arial" w:hAnsi="Arial" w:cs="Arial"/>
        </w:rPr>
        <w:t>Računovodstveni set zvaničnih završnih finansijskih izvještaja za posljednje tri godine: bilans uspjeha, bilans stanja, izvještaj o gotovinskim tokovima, izvještaji o promjenama u kapitalu i dr., kao i revizorski izvještaj (ukoliko je klijent u obavezi da sačinjava isti);</w:t>
      </w:r>
    </w:p>
    <w:p w14:paraId="3DD3B2E4"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 xml:space="preserve">Specifikacija za utvrđivanje dohotka od samostalne djelatnosti koja se podnosi nadležnim institucijama (kopija) / Godišnja porezna prijava za posljednje dvije godine. </w:t>
      </w:r>
    </w:p>
    <w:p w14:paraId="7D82A0F4"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Saglasnost za kreditni izvještaj iz Jedinstvenog registra kredita kod Centralne banke BiH;</w:t>
      </w:r>
    </w:p>
    <w:p w14:paraId="17659F76"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 xml:space="preserve">Analitički bruto bilans na zadnji dan u prethodnom mjesecu; </w:t>
      </w:r>
    </w:p>
    <w:p w14:paraId="30A33E38"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Odluka Nadzornog odbora/Skupštine o zaduženju ukoliko je Korisnik plasmana/Klijent dioničko društvo;</w:t>
      </w:r>
    </w:p>
    <w:p w14:paraId="0196C7B5"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Dokumenti koji dokazuju namjenu kredita(fakture, profakture, ponude, predračuni i sl.);</w:t>
      </w:r>
    </w:p>
    <w:p w14:paraId="10782AAC"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Poslovni plan za dugoročne kredite sa već obezbjeđenom građevinskom dozvolom (ako je potrebna) koji će uključivati sve informacije o investiciji tj. o načinu finansiranja odnosno ulaganja (potencijalno vlastita sredstva), izvođači i dinamika izvođenja radova i ostale informacije koje uobičajeno treba da sadrži poslovni plan;</w:t>
      </w:r>
    </w:p>
    <w:p w14:paraId="6D09B9A3"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Projekcije bilansa stanja i uspjeha kao i novčanog toka za period trajanja kredita u formi NLB Banke d.d., Sarajevo;</w:t>
      </w:r>
    </w:p>
    <w:p w14:paraId="29238D8D"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 xml:space="preserve">Detalje o poslovanju korisnika sredstava što uključuje istorijat poslovanja sa opisom djelatnosti (ukoliko je novi klijent NLB Banke d.d., Sarajevo) uz dostavljanje informacija o svim relevantim podacima neophodnim za obradu zahtjeva, a što uključuje i ne ograničavajući se na tabelu kupaca i dobavljača sa ročnom strukturom, pregled aktivnih ugovora/projekata u formi NLB Banke d.d., Sarajevo;   </w:t>
      </w:r>
    </w:p>
    <w:p w14:paraId="53FA28AC"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 xml:space="preserve">Ukoliko je podnosilac zahtjeva dio grupe povezanih lica, obavezan je dostaviti Banci detalje o poslovanju grupe kao i finansijske podatke o poslovanju, a što se odnosii na ostale članove grupe, uključujući i ogranigram grupe; </w:t>
      </w:r>
    </w:p>
    <w:p w14:paraId="3EF72F24" w14:textId="77777777" w:rsidR="00E30216" w:rsidRDefault="00000000">
      <w:pPr>
        <w:pStyle w:val="Tijeloteksta"/>
        <w:numPr>
          <w:ilvl w:val="0"/>
          <w:numId w:val="8"/>
        </w:numPr>
        <w:shd w:val="clear" w:color="auto" w:fill="auto"/>
        <w:tabs>
          <w:tab w:val="left" w:pos="458"/>
        </w:tabs>
        <w:rPr>
          <w:rFonts w:ascii="Arial" w:hAnsi="Arial" w:cs="Arial"/>
          <w:lang w:eastAsia="en-US"/>
        </w:rPr>
      </w:pPr>
      <w:r>
        <w:rPr>
          <w:rFonts w:ascii="Arial" w:hAnsi="Arial" w:cs="Arial"/>
          <w:lang w:eastAsia="en-US"/>
        </w:rPr>
        <w:t>Izjava o imovinskom stanju vlasnika društva;</w:t>
      </w:r>
    </w:p>
    <w:p w14:paraId="2BD85E0F"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Dokumentacija i opis ponuđenog obezbjeđenja/kolaterala u skladu sa procedurama NLB Banke d.d., Sarajevo;</w:t>
      </w:r>
    </w:p>
    <w:p w14:paraId="269D2118"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Upitnik za povezana lica – organigram;</w:t>
      </w:r>
    </w:p>
    <w:p w14:paraId="750B5FAC"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Uvjerenje nadležnog suda da protiv Korisnika kredita nije pokrenut postupak stečaja ili likvidacije;</w:t>
      </w:r>
    </w:p>
    <w:p w14:paraId="50622E0A"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Izjava kojom se potvrđuje da osnivač/vlasnik i odgovorna osoba nisu pravosnažno osuđivani za kaznena djela prevare u privrednom poslovanju, davanje i primanje dara, te druga kaznena djela povezana sa korupcijom;</w:t>
      </w:r>
    </w:p>
    <w:p w14:paraId="618D067B" w14:textId="77777777" w:rsidR="00E30216" w:rsidRDefault="00000000">
      <w:pPr>
        <w:pStyle w:val="Tijeloteksta"/>
        <w:numPr>
          <w:ilvl w:val="0"/>
          <w:numId w:val="8"/>
        </w:numPr>
        <w:shd w:val="clear" w:color="auto" w:fill="auto"/>
        <w:tabs>
          <w:tab w:val="left" w:pos="470"/>
        </w:tabs>
        <w:rPr>
          <w:rFonts w:ascii="Arial" w:hAnsi="Arial" w:cs="Arial"/>
          <w:lang w:eastAsia="en-US"/>
        </w:rPr>
      </w:pPr>
      <w:r>
        <w:rPr>
          <w:rFonts w:ascii="Arial" w:hAnsi="Arial" w:cs="Arial"/>
          <w:lang w:eastAsia="en-US"/>
        </w:rPr>
        <w:t>Ostalu potrebnu dokumentaciju u skladu sa procedurama i na zahtjev NLB Banke d.d., Sarajevo, a koja je neophodna za obradu zahtjeva.</w:t>
      </w:r>
    </w:p>
    <w:p w14:paraId="7A3E7625" w14:textId="77777777" w:rsidR="00E30216" w:rsidRDefault="00E30216">
      <w:pPr>
        <w:pStyle w:val="Tijeloteksta"/>
        <w:shd w:val="clear" w:color="auto" w:fill="auto"/>
        <w:ind w:left="400"/>
        <w:rPr>
          <w:rFonts w:ascii="Arial" w:hAnsi="Arial" w:cs="Arial"/>
          <w:lang w:val="hr-HR" w:eastAsia="en-US" w:bidi="en-US"/>
        </w:rPr>
      </w:pPr>
    </w:p>
    <w:p w14:paraId="494764FF"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4" w:name="bookmark11"/>
      <w:r>
        <w:rPr>
          <w:rFonts w:ascii="Arial" w:hAnsi="Arial" w:cs="Arial"/>
        </w:rPr>
        <w:t>ROKOVI</w:t>
      </w:r>
      <w:bookmarkEnd w:id="4"/>
    </w:p>
    <w:p w14:paraId="52FA78B5" w14:textId="77777777" w:rsidR="00E30216" w:rsidRDefault="00000000">
      <w:pPr>
        <w:pStyle w:val="Tijeloteksta"/>
        <w:shd w:val="clear" w:color="auto" w:fill="auto"/>
        <w:rPr>
          <w:rFonts w:ascii="Arial" w:hAnsi="Arial" w:cs="Arial"/>
        </w:rPr>
      </w:pPr>
      <w:r>
        <w:rPr>
          <w:rFonts w:ascii="Arial" w:hAnsi="Arial" w:cs="Arial"/>
          <w:color w:val="242021"/>
        </w:rPr>
        <w:t xml:space="preserve">Podnošenje zahtjeva za kreditiranje prema uslovima ovog Javnog poziva počinje teći od dana objavljivanja u sredstvima javnog informisanja i traje do utroška sredstava, a najkasnije do </w:t>
      </w:r>
      <w:r>
        <w:rPr>
          <w:rFonts w:ascii="Arial" w:hAnsi="Arial" w:cs="Arial"/>
          <w:b/>
          <w:bCs/>
          <w:color w:val="242021"/>
        </w:rPr>
        <w:t>01.10.2026. godine</w:t>
      </w:r>
      <w:r>
        <w:rPr>
          <w:rFonts w:ascii="Arial" w:hAnsi="Arial" w:cs="Arial"/>
          <w:color w:val="242021"/>
        </w:rPr>
        <w:t>. Proces obrade i odobravanja kreditnih sredstava iz ove kreditne linije vršit će se u roku ne dužem od 30 dana od dana prijema podnesenog zahtjeva</w:t>
      </w:r>
      <w:r>
        <w:rPr>
          <w:rFonts w:ascii="Arial" w:hAnsi="Arial" w:cs="Arial"/>
        </w:rPr>
        <w:t xml:space="preserve">, što je ujedno i rok za zaključivanje ugovora </w:t>
      </w:r>
      <w:r>
        <w:rPr>
          <w:rFonts w:ascii="Arial" w:hAnsi="Arial" w:cs="Arial"/>
        </w:rPr>
        <w:lastRenderedPageBreak/>
        <w:t>o kreditu.</w:t>
      </w:r>
    </w:p>
    <w:p w14:paraId="6DF58B12" w14:textId="77777777" w:rsidR="00E30216" w:rsidRDefault="00E30216">
      <w:pPr>
        <w:pStyle w:val="Tijeloteksta"/>
        <w:shd w:val="clear" w:color="auto" w:fill="auto"/>
        <w:rPr>
          <w:rFonts w:ascii="Arial" w:hAnsi="Arial" w:cs="Arial"/>
        </w:rPr>
      </w:pPr>
    </w:p>
    <w:p w14:paraId="7FE53123" w14:textId="77777777" w:rsidR="00E30216" w:rsidRDefault="00E30216">
      <w:pPr>
        <w:pStyle w:val="Tijeloteksta"/>
        <w:shd w:val="clear" w:color="auto" w:fill="auto"/>
        <w:rPr>
          <w:rFonts w:ascii="Arial" w:hAnsi="Arial" w:cs="Arial"/>
        </w:rPr>
      </w:pPr>
    </w:p>
    <w:p w14:paraId="169B18CF"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5" w:name="bookmark12"/>
      <w:r>
        <w:rPr>
          <w:rFonts w:ascii="Arial" w:hAnsi="Arial" w:cs="Arial"/>
        </w:rPr>
        <w:t>MJESTO I NAČIN PODNOŠENJA ZAHTJEVA</w:t>
      </w:r>
      <w:bookmarkEnd w:id="5"/>
    </w:p>
    <w:p w14:paraId="571371DF" w14:textId="77777777" w:rsidR="00E30216" w:rsidRDefault="00000000">
      <w:pPr>
        <w:pStyle w:val="Tijeloteksta"/>
        <w:shd w:val="clear" w:color="auto" w:fill="auto"/>
        <w:rPr>
          <w:rFonts w:ascii="Arial" w:hAnsi="Arial" w:cs="Arial"/>
        </w:rPr>
      </w:pPr>
      <w:r>
        <w:rPr>
          <w:rFonts w:ascii="Arial" w:hAnsi="Arial" w:cs="Arial"/>
        </w:rPr>
        <w:t xml:space="preserve">Zahtjevi za kreditiranje sa potrebnom dokumentacijom podnose se lično u zatvorenoj koverti sa naznakom „Zahtjev za kreditiranje iz kreditne linije NLB Banka d.d., Sarajevo uz subvenciju kamatne stope - Kanton Sarajevo“ lično na protokol ili preporučenom poštom na adresu Koševo 3, 71000 Sarajevo ili kod nadležnog Savjetnika za pravna lica ili putem e-mail adrese: </w:t>
      </w:r>
      <w:hyperlink r:id="rId8">
        <w:r w:rsidR="00E30216">
          <w:rPr>
            <w:rStyle w:val="Hiperveza"/>
            <w:rFonts w:ascii="Arial" w:hAnsi="Arial" w:cs="Arial"/>
          </w:rPr>
          <w:t>info@nlb.ba</w:t>
        </w:r>
      </w:hyperlink>
    </w:p>
    <w:p w14:paraId="20046C74" w14:textId="77777777" w:rsidR="00E30216" w:rsidRDefault="00E30216">
      <w:pPr>
        <w:pStyle w:val="Tijeloteksta"/>
        <w:shd w:val="clear" w:color="auto" w:fill="auto"/>
        <w:rPr>
          <w:rFonts w:ascii="Arial" w:hAnsi="Arial" w:cs="Arial"/>
        </w:rPr>
      </w:pPr>
    </w:p>
    <w:p w14:paraId="64C15BF4"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6" w:name="bookmark13"/>
      <w:r>
        <w:rPr>
          <w:rFonts w:ascii="Arial" w:hAnsi="Arial" w:cs="Arial"/>
        </w:rPr>
        <w:t>UGOVOR SA KORISNICIMA KREDITIRANJA</w:t>
      </w:r>
      <w:bookmarkEnd w:id="6"/>
    </w:p>
    <w:p w14:paraId="68F19A39" w14:textId="77777777" w:rsidR="00E30216" w:rsidRDefault="00000000">
      <w:pPr>
        <w:pStyle w:val="Tijeloteksta"/>
        <w:shd w:val="clear" w:color="auto" w:fill="auto"/>
        <w:rPr>
          <w:rFonts w:ascii="Arial" w:hAnsi="Arial" w:cs="Arial"/>
        </w:rPr>
      </w:pPr>
      <w:r>
        <w:rPr>
          <w:rFonts w:ascii="Arial" w:hAnsi="Arial" w:cs="Arial"/>
        </w:rPr>
        <w:t>Prijem zahtjeva, proces analize, obrade i odobravanja kreditiranja iz sredstava ove kreditne linije vršit će se u skladu sa redovnim procedurama i u skladu sa aktima NLB Banke d.d., Sarajevo. Ugovore o kreditu sa korisnicima sredstava zaključivati će NLB Banka d.d. Sarajevo. Ugovorom će se definisati međusobne obaveze i prava ugovornih strana, te način korištenja kredita. Za sva odobrena kreditiranja je obavezan monitoring od strane NLB Banke d.d., Sarajevo na kvartalnom nivou. Monitoring se provodi najkasnije do kraja narednog kvartala za protekli kvartal. Korisnik kreditnih sredstava je u obavezi dostaviti NLB Banci d.d., Sarajevo svu potrebnu dokumentaciju u svrhu dokaza ispunjenja posebnih uslova iz ugovora i ostvarivanja prava na subvencioniranu kamatnu stopu.</w:t>
      </w:r>
    </w:p>
    <w:p w14:paraId="17B65CD8" w14:textId="77777777" w:rsidR="00E30216" w:rsidRDefault="00E30216">
      <w:pPr>
        <w:pStyle w:val="Tijeloteksta"/>
        <w:shd w:val="clear" w:color="auto" w:fill="auto"/>
        <w:rPr>
          <w:rFonts w:ascii="Arial" w:hAnsi="Arial" w:cs="Arial"/>
        </w:rPr>
      </w:pPr>
    </w:p>
    <w:p w14:paraId="4A147FAB"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7" w:name="bookmark14"/>
      <w:r>
        <w:rPr>
          <w:rFonts w:ascii="Arial" w:hAnsi="Arial" w:cs="Arial"/>
        </w:rPr>
        <w:t>OSTALO</w:t>
      </w:r>
      <w:bookmarkEnd w:id="7"/>
    </w:p>
    <w:p w14:paraId="0F729B9D" w14:textId="77777777" w:rsidR="00E30216" w:rsidRDefault="00000000">
      <w:pPr>
        <w:pStyle w:val="Tijeloteksta"/>
        <w:shd w:val="clear" w:color="auto" w:fill="auto"/>
        <w:rPr>
          <w:rFonts w:ascii="Arial" w:hAnsi="Arial" w:cs="Arial"/>
        </w:rPr>
      </w:pPr>
      <w:r>
        <w:rPr>
          <w:rFonts w:ascii="Arial" w:hAnsi="Arial" w:cs="Arial"/>
        </w:rPr>
        <w:t>U postupku podnošenja zahtjeva po ovom Javnom pozivu Banka ne snosi nikakve troškove učesnicima, te zadržava pravo da u slučaju opravdanosti zahtjeve u potpunosti odbije.</w:t>
      </w:r>
    </w:p>
    <w:p w14:paraId="3AC89D5E" w14:textId="77777777" w:rsidR="00E30216" w:rsidRDefault="00E30216">
      <w:pPr>
        <w:pStyle w:val="Tijeloteksta"/>
        <w:shd w:val="clear" w:color="auto" w:fill="auto"/>
        <w:rPr>
          <w:rFonts w:ascii="Arial" w:hAnsi="Arial" w:cs="Arial"/>
        </w:rPr>
      </w:pPr>
    </w:p>
    <w:p w14:paraId="3D49F5FE" w14:textId="77777777" w:rsidR="00E30216" w:rsidRDefault="00000000">
      <w:pPr>
        <w:pStyle w:val="Heading20"/>
        <w:keepNext/>
        <w:keepLines/>
        <w:numPr>
          <w:ilvl w:val="0"/>
          <w:numId w:val="4"/>
        </w:numPr>
        <w:shd w:val="clear" w:color="auto" w:fill="auto"/>
        <w:tabs>
          <w:tab w:val="left" w:pos="382"/>
        </w:tabs>
        <w:spacing w:after="0"/>
        <w:ind w:left="380" w:hanging="380"/>
        <w:rPr>
          <w:rFonts w:ascii="Arial" w:hAnsi="Arial" w:cs="Arial"/>
        </w:rPr>
      </w:pPr>
      <w:bookmarkStart w:id="8" w:name="bookmark15"/>
      <w:r>
        <w:rPr>
          <w:rFonts w:ascii="Arial" w:hAnsi="Arial" w:cs="Arial"/>
        </w:rPr>
        <w:t>INFORMACIJE</w:t>
      </w:r>
      <w:bookmarkEnd w:id="8"/>
    </w:p>
    <w:p w14:paraId="596ED8C1" w14:textId="77777777" w:rsidR="00E30216" w:rsidRDefault="00000000">
      <w:pPr>
        <w:pStyle w:val="Tijeloteksta"/>
        <w:shd w:val="clear" w:color="auto" w:fill="auto"/>
        <w:rPr>
          <w:rFonts w:ascii="Arial" w:hAnsi="Arial" w:cs="Arial"/>
        </w:rPr>
      </w:pPr>
      <w:r>
        <w:rPr>
          <w:rFonts w:ascii="Arial" w:hAnsi="Arial" w:cs="Arial"/>
        </w:rPr>
        <w:t>Dodatne informacije prije samog podnošenja zahtjeva u toku Javnog poziva mogu se dobiti pozivom na broj 0800 22427 ili putem e-mail adrese:</w:t>
      </w:r>
      <w:hyperlink r:id="rId9">
        <w:r w:rsidR="00E30216">
          <w:rPr>
            <w:rStyle w:val="Hiperveza"/>
            <w:rFonts w:ascii="Arial" w:hAnsi="Arial" w:cs="Arial"/>
          </w:rPr>
          <w:t xml:space="preserve"> info@nlb.ba</w:t>
        </w:r>
        <w:r w:rsidR="00E30216">
          <w:rPr>
            <w:rStyle w:val="Hiperveza"/>
            <w:rFonts w:ascii="Arial" w:eastAsia="Cambria" w:hAnsi="Arial" w:cs="Arial"/>
          </w:rPr>
          <w:t>.</w:t>
        </w:r>
      </w:hyperlink>
    </w:p>
    <w:p w14:paraId="0C7E48E5" w14:textId="77777777" w:rsidR="00E30216" w:rsidRDefault="00E30216">
      <w:pPr>
        <w:pStyle w:val="Tijeloteksta"/>
        <w:shd w:val="clear" w:color="auto" w:fill="auto"/>
        <w:spacing w:after="100"/>
        <w:ind w:left="400"/>
        <w:rPr>
          <w:rFonts w:ascii="Arial" w:hAnsi="Arial" w:cs="Arial"/>
        </w:rPr>
      </w:pPr>
    </w:p>
    <w:p w14:paraId="63BF386E" w14:textId="77777777" w:rsidR="00E30216" w:rsidRDefault="00E30216">
      <w:pPr>
        <w:rPr>
          <w:rFonts w:cs="Arial"/>
          <w:lang w:val="sr-Latn-BA"/>
        </w:rPr>
      </w:pPr>
    </w:p>
    <w:sectPr w:rsidR="00E3021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BDC56" w14:textId="77777777" w:rsidR="003E2688" w:rsidRDefault="003E2688">
      <w:r>
        <w:separator/>
      </w:r>
    </w:p>
  </w:endnote>
  <w:endnote w:type="continuationSeparator" w:id="0">
    <w:p w14:paraId="05FE1AD8" w14:textId="77777777" w:rsidR="003E2688" w:rsidRDefault="003E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00122" w14:textId="77777777" w:rsidR="00E30216" w:rsidRDefault="00E3021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3AAD" w14:textId="77777777" w:rsidR="00E30216" w:rsidRDefault="00E3021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8B5F" w14:textId="77777777" w:rsidR="00E30216" w:rsidRDefault="00E302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343BF" w14:textId="77777777" w:rsidR="003E2688" w:rsidRDefault="003E2688">
      <w:r>
        <w:separator/>
      </w:r>
    </w:p>
  </w:footnote>
  <w:footnote w:type="continuationSeparator" w:id="0">
    <w:p w14:paraId="17630CBE" w14:textId="77777777" w:rsidR="003E2688" w:rsidRDefault="003E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95B4F" w14:textId="77777777" w:rsidR="00E30216" w:rsidRDefault="00E3021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A6A1" w14:textId="77777777" w:rsidR="00E30216" w:rsidRDefault="00E30216">
    <w:pPr>
      <w:pStyle w:val="Zaglavlje"/>
      <w:rPr>
        <w:rFonts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5E07" w14:textId="77777777" w:rsidR="00E30216" w:rsidRDefault="00E30216">
    <w:pPr>
      <w:pStyle w:val="Zaglavlje"/>
      <w:rPr>
        <w:rFonts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82FC1"/>
    <w:multiLevelType w:val="multilevel"/>
    <w:tmpl w:val="5A943C2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A"/>
        <w:spacing w:val="0"/>
        <w:w w:val="100"/>
        <w:sz w:val="26"/>
        <w:szCs w:val="26"/>
        <w:u w:val="none"/>
        <w:shd w:val="clear" w:color="auto" w:fill="auto"/>
        <w:lang w:val="hr-HR" w:eastAsia="hr-HR" w:bidi="hr-HR"/>
      </w:rPr>
    </w:lvl>
    <w:lvl w:ilvl="1">
      <w:start w:val="1"/>
      <w:numFmt w:val="bullet"/>
      <w:lvlText w:val=""/>
      <w:lvlJc w:val="left"/>
      <w:pPr>
        <w:tabs>
          <w:tab w:val="num" w:pos="0"/>
        </w:tabs>
        <w:ind w:left="360" w:hanging="36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C824C14"/>
    <w:multiLevelType w:val="multilevel"/>
    <w:tmpl w:val="D650616A"/>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6651CF3"/>
    <w:multiLevelType w:val="multilevel"/>
    <w:tmpl w:val="7F4E66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C5460E3"/>
    <w:multiLevelType w:val="multilevel"/>
    <w:tmpl w:val="703C3F2C"/>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A"/>
        <w:spacing w:val="0"/>
        <w:w w:val="100"/>
        <w:sz w:val="24"/>
        <w:szCs w:val="24"/>
        <w:u w:val="none"/>
        <w:shd w:val="clear" w:color="auto" w:fill="auto"/>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43485464"/>
    <w:multiLevelType w:val="multilevel"/>
    <w:tmpl w:val="8606F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9C5579A"/>
    <w:multiLevelType w:val="multilevel"/>
    <w:tmpl w:val="F8160580"/>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4B4677C6"/>
    <w:multiLevelType w:val="multilevel"/>
    <w:tmpl w:val="50F4F9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FC462B9"/>
    <w:multiLevelType w:val="multilevel"/>
    <w:tmpl w:val="33049926"/>
    <w:lvl w:ilvl="0">
      <w:start w:val="1"/>
      <w:numFmt w:val="decimal"/>
      <w:pStyle w:val="stevilcenj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222B66"/>
    <w:multiLevelType w:val="multilevel"/>
    <w:tmpl w:val="477E0F28"/>
    <w:lvl w:ilvl="0">
      <w:start w:val="1"/>
      <w:numFmt w:val="none"/>
      <w:suff w:val="nothing"/>
      <w:lvlText w:val="-"/>
      <w:lvlJc w:val="left"/>
      <w:pPr>
        <w:tabs>
          <w:tab w:val="num" w:pos="360"/>
        </w:tabs>
        <w:ind w:left="0" w:firstLine="0"/>
      </w:pPr>
      <w:rPr>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suff w:val="nothing"/>
      <w:lvlText w:val="-"/>
      <w:lvlJc w:val="left"/>
      <w:pPr>
        <w:tabs>
          <w:tab w:val="num" w:pos="1080"/>
        </w:tabs>
        <w:ind w:left="720" w:firstLine="0"/>
      </w:pPr>
    </w:lvl>
    <w:lvl w:ilvl="2">
      <w:start w:val="1"/>
      <w:numFmt w:val="none"/>
      <w:pStyle w:val="nastevanje3nivo"/>
      <w:suff w:val="nothing"/>
      <w:lvlText w:val="-"/>
      <w:lvlJc w:val="left"/>
      <w:pPr>
        <w:tabs>
          <w:tab w:val="num" w:pos="1800"/>
        </w:tabs>
        <w:ind w:left="1440" w:firstLine="0"/>
      </w:p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3D940D6"/>
    <w:multiLevelType w:val="multilevel"/>
    <w:tmpl w:val="31F86B54"/>
    <w:lvl w:ilvl="0">
      <w:start w:val="1"/>
      <w:numFmt w:val="bullet"/>
      <w:pStyle w:val="nastevanje1nivo"/>
      <w:lvlText w:val="–"/>
      <w:lvlJc w:val="left"/>
      <w:pPr>
        <w:tabs>
          <w:tab w:val="num" w:pos="360"/>
        </w:tabs>
        <w:ind w:left="284" w:hanging="284"/>
      </w:pPr>
      <w:rPr>
        <w:rFonts w:ascii="Arial" w:hAnsi="Arial" w:cs="Arial" w:hint="default"/>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0936240">
    <w:abstractNumId w:val="9"/>
  </w:num>
  <w:num w:numId="2" w16cid:durableId="1952277671">
    <w:abstractNumId w:val="8"/>
  </w:num>
  <w:num w:numId="3" w16cid:durableId="1269001493">
    <w:abstractNumId w:val="7"/>
  </w:num>
  <w:num w:numId="4" w16cid:durableId="659622399">
    <w:abstractNumId w:val="5"/>
  </w:num>
  <w:num w:numId="5" w16cid:durableId="432822944">
    <w:abstractNumId w:val="0"/>
  </w:num>
  <w:num w:numId="6" w16cid:durableId="909661157">
    <w:abstractNumId w:val="3"/>
  </w:num>
  <w:num w:numId="7" w16cid:durableId="1089810384">
    <w:abstractNumId w:val="1"/>
  </w:num>
  <w:num w:numId="8" w16cid:durableId="2062166732">
    <w:abstractNumId w:val="6"/>
  </w:num>
  <w:num w:numId="9" w16cid:durableId="496728685">
    <w:abstractNumId w:val="2"/>
  </w:num>
  <w:num w:numId="10" w16cid:durableId="5413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16"/>
    <w:rsid w:val="00195BF0"/>
    <w:rsid w:val="003438E4"/>
    <w:rsid w:val="003E2688"/>
    <w:rsid w:val="00414EAF"/>
    <w:rsid w:val="005B1D12"/>
    <w:rsid w:val="005B2860"/>
    <w:rsid w:val="006C230A"/>
    <w:rsid w:val="009E2C81"/>
    <w:rsid w:val="00A60B70"/>
    <w:rsid w:val="00C338C5"/>
    <w:rsid w:val="00C71FB0"/>
    <w:rsid w:val="00DA03C6"/>
    <w:rsid w:val="00E30216"/>
    <w:rsid w:val="00F9099C"/>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F26F"/>
  <w15:docId w15:val="{8A7CDD89-2521-425D-A2B7-975CE0F6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r-Latn-BA" w:eastAsia="sr-Latn-B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94B"/>
    <w:rPr>
      <w:rFonts w:ascii="Arial" w:hAnsi="Arial"/>
      <w:lang w:val="sl-SI" w:eastAsia="en-US"/>
    </w:rPr>
  </w:style>
  <w:style w:type="paragraph" w:styleId="Naslov1">
    <w:name w:val="heading 1"/>
    <w:basedOn w:val="Normal"/>
    <w:next w:val="Normal"/>
    <w:qFormat/>
    <w:rsid w:val="00FA594B"/>
    <w:pPr>
      <w:keepNext/>
      <w:spacing w:after="360"/>
      <w:outlineLvl w:val="0"/>
    </w:pPr>
    <w:rPr>
      <w:b/>
      <w:kern w:val="2"/>
    </w:rPr>
  </w:style>
  <w:style w:type="paragraph" w:styleId="Naslov2">
    <w:name w:val="heading 2"/>
    <w:basedOn w:val="Normal"/>
    <w:next w:val="Normal"/>
    <w:qFormat/>
    <w:rsid w:val="00FA594B"/>
    <w:pPr>
      <w:keepNext/>
      <w:spacing w:after="360"/>
      <w:outlineLvl w:val="1"/>
    </w:pPr>
    <w:rPr>
      <w:b/>
    </w:rPr>
  </w:style>
  <w:style w:type="paragraph" w:styleId="Naslov3">
    <w:name w:val="heading 3"/>
    <w:basedOn w:val="Normal"/>
    <w:next w:val="Normal"/>
    <w:qFormat/>
    <w:rsid w:val="00FA594B"/>
    <w:pPr>
      <w:keepNext/>
      <w:spacing w:before="240" w:after="60"/>
      <w:outlineLvl w:val="2"/>
    </w:pPr>
  </w:style>
  <w:style w:type="paragraph" w:styleId="Naslov4">
    <w:name w:val="heading 4"/>
    <w:basedOn w:val="Normal"/>
    <w:next w:val="Normal"/>
    <w:link w:val="Naslov4Char"/>
    <w:semiHidden/>
    <w:unhideWhenUsed/>
    <w:qFormat/>
    <w:rsid w:val="00014B2F"/>
    <w:pPr>
      <w:keepNext/>
      <w:keepLines/>
      <w:spacing w:before="80" w:after="40"/>
      <w:outlineLvl w:val="3"/>
    </w:pPr>
    <w:rPr>
      <w:rFonts w:asciiTheme="minorHAnsi" w:eastAsiaTheme="majorEastAsia" w:hAnsiTheme="minorHAnsi" w:cstheme="majorBidi"/>
      <w:i/>
      <w:iCs/>
      <w:color w:val="1D005D" w:themeColor="accent1" w:themeShade="BF"/>
    </w:rPr>
  </w:style>
  <w:style w:type="paragraph" w:styleId="Naslov5">
    <w:name w:val="heading 5"/>
    <w:basedOn w:val="Normal"/>
    <w:next w:val="Normal"/>
    <w:link w:val="Naslov5Char"/>
    <w:semiHidden/>
    <w:unhideWhenUsed/>
    <w:qFormat/>
    <w:rsid w:val="00014B2F"/>
    <w:pPr>
      <w:keepNext/>
      <w:keepLines/>
      <w:spacing w:before="80" w:after="40"/>
      <w:outlineLvl w:val="4"/>
    </w:pPr>
    <w:rPr>
      <w:rFonts w:asciiTheme="minorHAnsi" w:eastAsiaTheme="majorEastAsia" w:hAnsiTheme="minorHAnsi" w:cstheme="majorBidi"/>
      <w:color w:val="1D005D" w:themeColor="accent1" w:themeShade="BF"/>
    </w:rPr>
  </w:style>
  <w:style w:type="paragraph" w:styleId="Naslov6">
    <w:name w:val="heading 6"/>
    <w:basedOn w:val="Normal"/>
    <w:next w:val="Normal"/>
    <w:link w:val="Naslov6Char"/>
    <w:semiHidden/>
    <w:unhideWhenUsed/>
    <w:qFormat/>
    <w:rsid w:val="00014B2F"/>
    <w:pPr>
      <w:keepNext/>
      <w:keepLines/>
      <w:spacing w:before="40"/>
      <w:outlineLvl w:val="5"/>
    </w:pPr>
    <w:rPr>
      <w:rFonts w:asciiTheme="minorHAnsi" w:eastAsiaTheme="majorEastAsia" w:hAnsiTheme="minorHAnsi" w:cstheme="majorBidi"/>
      <w:i/>
      <w:iCs/>
      <w:color w:val="A5A5A5" w:themeColor="text1" w:themeTint="A6"/>
    </w:rPr>
  </w:style>
  <w:style w:type="paragraph" w:styleId="Naslov7">
    <w:name w:val="heading 7"/>
    <w:basedOn w:val="Normal"/>
    <w:next w:val="Normal"/>
    <w:link w:val="Naslov7Char"/>
    <w:semiHidden/>
    <w:unhideWhenUsed/>
    <w:qFormat/>
    <w:rsid w:val="00014B2F"/>
    <w:pPr>
      <w:keepNext/>
      <w:keepLines/>
      <w:spacing w:before="40"/>
      <w:outlineLvl w:val="6"/>
    </w:pPr>
    <w:rPr>
      <w:rFonts w:asciiTheme="minorHAnsi" w:eastAsiaTheme="majorEastAsia" w:hAnsiTheme="minorHAnsi" w:cstheme="majorBidi"/>
      <w:color w:val="A5A5A5" w:themeColor="text1" w:themeTint="A6"/>
    </w:rPr>
  </w:style>
  <w:style w:type="paragraph" w:styleId="Naslov8">
    <w:name w:val="heading 8"/>
    <w:basedOn w:val="Normal"/>
    <w:next w:val="Normal"/>
    <w:link w:val="Naslov8Char"/>
    <w:semiHidden/>
    <w:unhideWhenUsed/>
    <w:qFormat/>
    <w:rsid w:val="00014B2F"/>
    <w:pPr>
      <w:keepNext/>
      <w:keepLines/>
      <w:outlineLvl w:val="7"/>
    </w:pPr>
    <w:rPr>
      <w:rFonts w:asciiTheme="minorHAnsi" w:eastAsiaTheme="majorEastAsia" w:hAnsiTheme="minorHAnsi" w:cstheme="majorBidi"/>
      <w:i/>
      <w:iCs/>
      <w:color w:val="8A8A8A" w:themeColor="text1" w:themeTint="D8"/>
    </w:rPr>
  </w:style>
  <w:style w:type="paragraph" w:styleId="Naslov9">
    <w:name w:val="heading 9"/>
    <w:basedOn w:val="Normal"/>
    <w:next w:val="Normal"/>
    <w:link w:val="Naslov9Char"/>
    <w:semiHidden/>
    <w:unhideWhenUsed/>
    <w:qFormat/>
    <w:rsid w:val="00014B2F"/>
    <w:pPr>
      <w:keepNext/>
      <w:keepLines/>
      <w:outlineLvl w:val="8"/>
    </w:pPr>
    <w:rPr>
      <w:rFonts w:asciiTheme="minorHAnsi" w:eastAsiaTheme="majorEastAsia" w:hAnsiTheme="minorHAnsi" w:cstheme="majorBidi"/>
      <w:color w:val="8A8A8A"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EndnoteCharacters">
    <w:name w:val="Endnote Characters"/>
    <w:basedOn w:val="Zadanifontodlomka"/>
    <w:semiHidden/>
    <w:qFormat/>
    <w:rsid w:val="00FA594B"/>
    <w:rPr>
      <w:rFonts w:ascii="Arial" w:hAnsi="Arial"/>
      <w:vertAlign w:val="superscript"/>
    </w:rPr>
  </w:style>
  <w:style w:type="character" w:styleId="Referencakrajnjebiljeke">
    <w:name w:val="endnote reference"/>
    <w:rPr>
      <w:rFonts w:ascii="Arial" w:hAnsi="Arial"/>
      <w:vertAlign w:val="superscript"/>
    </w:rPr>
  </w:style>
  <w:style w:type="character" w:customStyle="1" w:styleId="FootnoteCharacters">
    <w:name w:val="Footnote Characters"/>
    <w:basedOn w:val="Zadanifontodlomka"/>
    <w:semiHidden/>
    <w:qFormat/>
    <w:rsid w:val="00FA594B"/>
    <w:rPr>
      <w:rFonts w:ascii="Arial" w:hAnsi="Arial"/>
      <w:vertAlign w:val="superscript"/>
    </w:rPr>
  </w:style>
  <w:style w:type="character" w:styleId="Referencafusnote">
    <w:name w:val="footnote reference"/>
    <w:rPr>
      <w:rFonts w:ascii="Arial" w:hAnsi="Arial"/>
      <w:vertAlign w:val="superscript"/>
    </w:rPr>
  </w:style>
  <w:style w:type="character" w:styleId="Brojstranice">
    <w:name w:val="page number"/>
    <w:basedOn w:val="Zadanifontodlomka"/>
    <w:rsid w:val="00FA594B"/>
    <w:rPr>
      <w:rFonts w:ascii="Arial" w:hAnsi="Arial"/>
      <w:b/>
      <w:sz w:val="20"/>
    </w:rPr>
  </w:style>
  <w:style w:type="character" w:styleId="Referencakomentara">
    <w:name w:val="annotation reference"/>
    <w:basedOn w:val="Zadanifontodlomka"/>
    <w:semiHidden/>
    <w:qFormat/>
    <w:rsid w:val="00FA594B"/>
    <w:rPr>
      <w:rFonts w:ascii="Arial" w:hAnsi="Arial"/>
      <w:sz w:val="16"/>
    </w:rPr>
  </w:style>
  <w:style w:type="character" w:customStyle="1" w:styleId="Naslov4Char">
    <w:name w:val="Naslov 4 Char"/>
    <w:basedOn w:val="Zadanifontodlomka"/>
    <w:link w:val="Naslov4"/>
    <w:semiHidden/>
    <w:qFormat/>
    <w:rsid w:val="00014B2F"/>
    <w:rPr>
      <w:rFonts w:asciiTheme="minorHAnsi" w:eastAsiaTheme="majorEastAsia" w:hAnsiTheme="minorHAnsi" w:cstheme="majorBidi"/>
      <w:i/>
      <w:iCs/>
      <w:color w:val="1D005D" w:themeColor="accent1" w:themeShade="BF"/>
      <w:lang w:val="sl-SI" w:eastAsia="en-US"/>
    </w:rPr>
  </w:style>
  <w:style w:type="character" w:customStyle="1" w:styleId="Naslov5Char">
    <w:name w:val="Naslov 5 Char"/>
    <w:basedOn w:val="Zadanifontodlomka"/>
    <w:link w:val="Naslov5"/>
    <w:semiHidden/>
    <w:qFormat/>
    <w:rsid w:val="00014B2F"/>
    <w:rPr>
      <w:rFonts w:asciiTheme="minorHAnsi" w:eastAsiaTheme="majorEastAsia" w:hAnsiTheme="minorHAnsi" w:cstheme="majorBidi"/>
      <w:color w:val="1D005D" w:themeColor="accent1" w:themeShade="BF"/>
      <w:lang w:val="sl-SI" w:eastAsia="en-US"/>
    </w:rPr>
  </w:style>
  <w:style w:type="character" w:customStyle="1" w:styleId="Naslov6Char">
    <w:name w:val="Naslov 6 Char"/>
    <w:basedOn w:val="Zadanifontodlomka"/>
    <w:link w:val="Naslov6"/>
    <w:semiHidden/>
    <w:qFormat/>
    <w:rsid w:val="00014B2F"/>
    <w:rPr>
      <w:rFonts w:asciiTheme="minorHAnsi" w:eastAsiaTheme="majorEastAsia" w:hAnsiTheme="minorHAnsi" w:cstheme="majorBidi"/>
      <w:i/>
      <w:iCs/>
      <w:color w:val="A5A5A5" w:themeColor="text1" w:themeTint="A6"/>
      <w:lang w:val="sl-SI" w:eastAsia="en-US"/>
    </w:rPr>
  </w:style>
  <w:style w:type="character" w:customStyle="1" w:styleId="Naslov7Char">
    <w:name w:val="Naslov 7 Char"/>
    <w:basedOn w:val="Zadanifontodlomka"/>
    <w:link w:val="Naslov7"/>
    <w:semiHidden/>
    <w:qFormat/>
    <w:rsid w:val="00014B2F"/>
    <w:rPr>
      <w:rFonts w:asciiTheme="minorHAnsi" w:eastAsiaTheme="majorEastAsia" w:hAnsiTheme="minorHAnsi" w:cstheme="majorBidi"/>
      <w:color w:val="A5A5A5" w:themeColor="text1" w:themeTint="A6"/>
      <w:lang w:val="sl-SI" w:eastAsia="en-US"/>
    </w:rPr>
  </w:style>
  <w:style w:type="character" w:customStyle="1" w:styleId="Naslov8Char">
    <w:name w:val="Naslov 8 Char"/>
    <w:basedOn w:val="Zadanifontodlomka"/>
    <w:link w:val="Naslov8"/>
    <w:semiHidden/>
    <w:qFormat/>
    <w:rsid w:val="00014B2F"/>
    <w:rPr>
      <w:rFonts w:asciiTheme="minorHAnsi" w:eastAsiaTheme="majorEastAsia" w:hAnsiTheme="minorHAnsi" w:cstheme="majorBidi"/>
      <w:i/>
      <w:iCs/>
      <w:color w:val="8A8A8A" w:themeColor="text1" w:themeTint="D8"/>
      <w:lang w:val="sl-SI" w:eastAsia="en-US"/>
    </w:rPr>
  </w:style>
  <w:style w:type="character" w:customStyle="1" w:styleId="Naslov9Char">
    <w:name w:val="Naslov 9 Char"/>
    <w:basedOn w:val="Zadanifontodlomka"/>
    <w:link w:val="Naslov9"/>
    <w:semiHidden/>
    <w:qFormat/>
    <w:rsid w:val="00014B2F"/>
    <w:rPr>
      <w:rFonts w:asciiTheme="minorHAnsi" w:eastAsiaTheme="majorEastAsia" w:hAnsiTheme="minorHAnsi" w:cstheme="majorBidi"/>
      <w:color w:val="8A8A8A" w:themeColor="text1" w:themeTint="D8"/>
      <w:lang w:val="sl-SI" w:eastAsia="en-US"/>
    </w:rPr>
  </w:style>
  <w:style w:type="character" w:customStyle="1" w:styleId="NaslovChar">
    <w:name w:val="Naslov Char"/>
    <w:basedOn w:val="Zadanifontodlomka"/>
    <w:link w:val="Naslov"/>
    <w:qFormat/>
    <w:rsid w:val="00014B2F"/>
    <w:rPr>
      <w:rFonts w:asciiTheme="majorHAnsi" w:eastAsiaTheme="majorEastAsia" w:hAnsiTheme="majorHAnsi" w:cstheme="majorBidi"/>
      <w:spacing w:val="-10"/>
      <w:kern w:val="2"/>
      <w:sz w:val="56"/>
      <w:szCs w:val="56"/>
      <w:lang w:val="sl-SI" w:eastAsia="en-US"/>
    </w:rPr>
  </w:style>
  <w:style w:type="character" w:customStyle="1" w:styleId="PodnaslovChar">
    <w:name w:val="Podnaslov Char"/>
    <w:basedOn w:val="Zadanifontodlomka"/>
    <w:link w:val="Podnaslov"/>
    <w:qFormat/>
    <w:rsid w:val="00014B2F"/>
    <w:rPr>
      <w:rFonts w:asciiTheme="minorHAnsi" w:eastAsiaTheme="majorEastAsia" w:hAnsiTheme="minorHAnsi" w:cstheme="majorBidi"/>
      <w:color w:val="A5A5A5" w:themeColor="text1" w:themeTint="A6"/>
      <w:spacing w:val="15"/>
      <w:sz w:val="28"/>
      <w:szCs w:val="28"/>
      <w:lang w:val="sl-SI" w:eastAsia="en-US"/>
    </w:rPr>
  </w:style>
  <w:style w:type="character" w:customStyle="1" w:styleId="CitatChar">
    <w:name w:val="Citat Char"/>
    <w:basedOn w:val="Zadanifontodlomka"/>
    <w:link w:val="Citat"/>
    <w:uiPriority w:val="29"/>
    <w:qFormat/>
    <w:rsid w:val="00014B2F"/>
    <w:rPr>
      <w:rFonts w:ascii="Arial" w:hAnsi="Arial"/>
      <w:i/>
      <w:iCs/>
      <w:color w:val="979797" w:themeColor="text1" w:themeTint="BF"/>
      <w:lang w:val="sl-SI" w:eastAsia="en-US"/>
    </w:rPr>
  </w:style>
  <w:style w:type="character" w:styleId="Jakoisticanje">
    <w:name w:val="Intense Emphasis"/>
    <w:basedOn w:val="Zadanifontodlomka"/>
    <w:uiPriority w:val="21"/>
    <w:qFormat/>
    <w:rsid w:val="00014B2F"/>
    <w:rPr>
      <w:i/>
      <w:iCs/>
      <w:color w:val="1D005D" w:themeColor="accent1" w:themeShade="BF"/>
    </w:rPr>
  </w:style>
  <w:style w:type="character" w:customStyle="1" w:styleId="NaglaencitatChar">
    <w:name w:val="Naglašen citat Char"/>
    <w:basedOn w:val="Zadanifontodlomka"/>
    <w:link w:val="Naglaencitat"/>
    <w:uiPriority w:val="30"/>
    <w:qFormat/>
    <w:rsid w:val="00014B2F"/>
    <w:rPr>
      <w:rFonts w:ascii="Arial" w:hAnsi="Arial"/>
      <w:i/>
      <w:iCs/>
      <w:color w:val="1D005D" w:themeColor="accent1" w:themeShade="BF"/>
      <w:lang w:val="sl-SI" w:eastAsia="en-US"/>
    </w:rPr>
  </w:style>
  <w:style w:type="character" w:styleId="Istaknutareferenca">
    <w:name w:val="Intense Reference"/>
    <w:basedOn w:val="Zadanifontodlomka"/>
    <w:uiPriority w:val="32"/>
    <w:qFormat/>
    <w:rsid w:val="00014B2F"/>
    <w:rPr>
      <w:b/>
      <w:bCs/>
      <w:smallCaps/>
      <w:color w:val="1D005D" w:themeColor="accent1" w:themeShade="BF"/>
      <w:spacing w:val="5"/>
    </w:rPr>
  </w:style>
  <w:style w:type="character" w:customStyle="1" w:styleId="TijelotekstaChar">
    <w:name w:val="Tijelo teksta Char"/>
    <w:basedOn w:val="Zadanifontodlomka"/>
    <w:link w:val="Tijeloteksta"/>
    <w:qFormat/>
    <w:rsid w:val="00014B2F"/>
    <w:rPr>
      <w:shd w:val="clear" w:color="auto" w:fill="FFFFFF"/>
    </w:rPr>
  </w:style>
  <w:style w:type="character" w:customStyle="1" w:styleId="BodyTextChar1">
    <w:name w:val="Body Text Char1"/>
    <w:basedOn w:val="Zadanifontodlomka"/>
    <w:semiHidden/>
    <w:qFormat/>
    <w:rsid w:val="00014B2F"/>
    <w:rPr>
      <w:rFonts w:ascii="Arial" w:hAnsi="Arial"/>
      <w:lang w:val="sl-SI" w:eastAsia="en-US"/>
    </w:rPr>
  </w:style>
  <w:style w:type="character" w:customStyle="1" w:styleId="Heading2">
    <w:name w:val="Heading #2_"/>
    <w:basedOn w:val="Zadanifontodlomka"/>
    <w:link w:val="Heading20"/>
    <w:qFormat/>
    <w:rsid w:val="00014B2F"/>
    <w:rPr>
      <w:b/>
      <w:bCs/>
      <w:shd w:val="clear" w:color="auto" w:fill="FFFFFF"/>
    </w:rPr>
  </w:style>
  <w:style w:type="character" w:customStyle="1" w:styleId="Headerorfooter2">
    <w:name w:val="Header or footer (2)_"/>
    <w:basedOn w:val="Zadanifontodlomka"/>
    <w:link w:val="Headerorfooter20"/>
    <w:qFormat/>
    <w:rsid w:val="00014B2F"/>
    <w:rPr>
      <w:shd w:val="clear" w:color="auto" w:fill="FFFFFF"/>
    </w:rPr>
  </w:style>
  <w:style w:type="character" w:customStyle="1" w:styleId="Other">
    <w:name w:val="Other_"/>
    <w:basedOn w:val="Zadanifontodlomka"/>
    <w:link w:val="Other0"/>
    <w:qFormat/>
    <w:rsid w:val="00DA5397"/>
    <w:rPr>
      <w:shd w:val="clear" w:color="auto" w:fill="FFFFFF"/>
    </w:rPr>
  </w:style>
  <w:style w:type="character" w:customStyle="1" w:styleId="Tablecaption">
    <w:name w:val="Table caption_"/>
    <w:basedOn w:val="Zadanifontodlomka"/>
    <w:link w:val="Tablecaption0"/>
    <w:qFormat/>
    <w:rsid w:val="00DA5397"/>
    <w:rPr>
      <w:b/>
      <w:bCs/>
      <w:shd w:val="clear" w:color="auto" w:fill="FFFFFF"/>
    </w:rPr>
  </w:style>
  <w:style w:type="character" w:styleId="Hiperveza">
    <w:name w:val="Hyperlink"/>
    <w:basedOn w:val="Zadanifontodlomka"/>
    <w:unhideWhenUsed/>
    <w:rsid w:val="002B160F"/>
    <w:rPr>
      <w:color w:val="28007D" w:themeColor="hyperlink"/>
      <w:u w:val="single"/>
    </w:rPr>
  </w:style>
  <w:style w:type="character" w:styleId="Nerijeenospominjanje">
    <w:name w:val="Unresolved Mention"/>
    <w:basedOn w:val="Zadanifontodlomka"/>
    <w:uiPriority w:val="99"/>
    <w:semiHidden/>
    <w:unhideWhenUsed/>
    <w:qFormat/>
    <w:rsid w:val="002B160F"/>
    <w:rPr>
      <w:color w:val="605E5C"/>
      <w:shd w:val="clear" w:color="auto" w:fill="E1DFDD"/>
    </w:rPr>
  </w:style>
  <w:style w:type="character" w:customStyle="1" w:styleId="cf01">
    <w:name w:val="cf01"/>
    <w:basedOn w:val="Zadanifontodlomka"/>
    <w:qFormat/>
    <w:rsid w:val="00556105"/>
    <w:rPr>
      <w:rFonts w:ascii="Segoe UI" w:hAnsi="Segoe UI" w:cs="Segoe UI"/>
      <w:sz w:val="18"/>
      <w:szCs w:val="18"/>
    </w:rPr>
  </w:style>
  <w:style w:type="character" w:customStyle="1" w:styleId="TekstkomentaraChar">
    <w:name w:val="Tekst komentara Char"/>
    <w:basedOn w:val="Zadanifontodlomka"/>
    <w:link w:val="Tekstkomentara"/>
    <w:qFormat/>
    <w:rsid w:val="00611B42"/>
    <w:rPr>
      <w:rFonts w:ascii="Arial" w:hAnsi="Arial"/>
      <w:lang w:val="sl-SI" w:eastAsia="en-US"/>
    </w:rPr>
  </w:style>
  <w:style w:type="character" w:customStyle="1" w:styleId="PredmetkomentaraChar">
    <w:name w:val="Predmet komentara Char"/>
    <w:basedOn w:val="TekstkomentaraChar"/>
    <w:link w:val="Predmetkomentara"/>
    <w:semiHidden/>
    <w:qFormat/>
    <w:rsid w:val="00611B42"/>
    <w:rPr>
      <w:rFonts w:ascii="Arial" w:hAnsi="Arial"/>
      <w:b/>
      <w:bCs/>
      <w:lang w:val="sl-SI" w:eastAsia="en-US"/>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qFormat/>
    <w:rsid w:val="00014B2F"/>
    <w:pPr>
      <w:widowControl w:val="0"/>
      <w:shd w:val="clear" w:color="auto" w:fill="FFFFFF"/>
      <w:jc w:val="both"/>
    </w:pPr>
    <w:rPr>
      <w:rFonts w:ascii="Times New Roman" w:hAnsi="Times New Roman"/>
      <w:lang w:val="sr-Latn-BA" w:eastAsia="sr-Latn-BA"/>
    </w:r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Zaglavlje">
    <w:name w:val="header"/>
    <w:basedOn w:val="Normal"/>
    <w:rsid w:val="00FA594B"/>
    <w:pPr>
      <w:tabs>
        <w:tab w:val="center" w:pos="4253"/>
        <w:tab w:val="right" w:pos="9072"/>
      </w:tabs>
    </w:pPr>
    <w:rPr>
      <w:sz w:val="16"/>
    </w:rPr>
  </w:style>
  <w:style w:type="paragraph" w:styleId="Podnoje">
    <w:name w:val="footer"/>
    <w:basedOn w:val="Normal"/>
    <w:rsid w:val="00FA594B"/>
    <w:pPr>
      <w:tabs>
        <w:tab w:val="center" w:pos="4253"/>
        <w:tab w:val="right" w:pos="9072"/>
      </w:tabs>
    </w:pPr>
    <w:rPr>
      <w:sz w:val="16"/>
    </w:rPr>
  </w:style>
  <w:style w:type="paragraph" w:customStyle="1" w:styleId="Naslov10">
    <w:name w:val="Naslov1"/>
    <w:basedOn w:val="Normal"/>
    <w:next w:val="Normal"/>
    <w:qFormat/>
    <w:rsid w:val="00FA594B"/>
    <w:pPr>
      <w:keepNext/>
      <w:spacing w:after="360"/>
    </w:pPr>
    <w:rPr>
      <w:b/>
      <w:sz w:val="24"/>
    </w:rPr>
  </w:style>
  <w:style w:type="paragraph" w:customStyle="1" w:styleId="nastevanje1nivo">
    <w:name w:val="nastevanje_1_nivo"/>
    <w:basedOn w:val="Normal"/>
    <w:qFormat/>
    <w:rsid w:val="00FA594B"/>
    <w:pPr>
      <w:numPr>
        <w:numId w:val="1"/>
      </w:numPr>
      <w:tabs>
        <w:tab w:val="left" w:pos="284"/>
      </w:tabs>
    </w:pPr>
  </w:style>
  <w:style w:type="paragraph" w:customStyle="1" w:styleId="nastevanje2nivo">
    <w:name w:val="nastevanje_2_nivo"/>
    <w:basedOn w:val="Normal"/>
    <w:qFormat/>
    <w:rsid w:val="00C71305"/>
    <w:pPr>
      <w:numPr>
        <w:ilvl w:val="1"/>
        <w:numId w:val="2"/>
      </w:numPr>
      <w:tabs>
        <w:tab w:val="left" w:pos="567"/>
      </w:tabs>
    </w:pPr>
  </w:style>
  <w:style w:type="paragraph" w:customStyle="1" w:styleId="nastevanje3nivo">
    <w:name w:val="nastevanje_3_nivo"/>
    <w:basedOn w:val="Normal"/>
    <w:qFormat/>
    <w:rsid w:val="00C71305"/>
    <w:pPr>
      <w:numPr>
        <w:ilvl w:val="2"/>
        <w:numId w:val="2"/>
      </w:numPr>
      <w:tabs>
        <w:tab w:val="left" w:pos="851"/>
      </w:tabs>
    </w:pPr>
  </w:style>
  <w:style w:type="paragraph" w:customStyle="1" w:styleId="nastevanje4nivo">
    <w:name w:val="nastevanje_4_nivo"/>
    <w:basedOn w:val="nastevanje3nivo"/>
    <w:qFormat/>
    <w:rsid w:val="00C71305"/>
    <w:pPr>
      <w:tabs>
        <w:tab w:val="clear" w:pos="851"/>
        <w:tab w:val="left" w:pos="1134"/>
      </w:tabs>
    </w:pPr>
  </w:style>
  <w:style w:type="paragraph" w:customStyle="1" w:styleId="nastevanje5nivo">
    <w:name w:val="nastevanje_5_nivo"/>
    <w:basedOn w:val="nastevanje4nivo"/>
    <w:qFormat/>
    <w:rsid w:val="00C71305"/>
    <w:pPr>
      <w:tabs>
        <w:tab w:val="clear" w:pos="1134"/>
        <w:tab w:val="left" w:pos="1418"/>
      </w:tabs>
    </w:pPr>
  </w:style>
  <w:style w:type="paragraph" w:customStyle="1" w:styleId="Podnaslov1">
    <w:name w:val="Podnaslov1"/>
    <w:basedOn w:val="Normal"/>
    <w:qFormat/>
    <w:rsid w:val="00FA594B"/>
    <w:pPr>
      <w:keepNext/>
      <w:spacing w:after="360"/>
    </w:pPr>
    <w:rPr>
      <w:b/>
    </w:rPr>
  </w:style>
  <w:style w:type="paragraph" w:customStyle="1" w:styleId="Podpisnik1">
    <w:name w:val="Podpisnik(1)"/>
    <w:basedOn w:val="Normal"/>
    <w:next w:val="Normal"/>
    <w:qFormat/>
    <w:rsid w:val="00FA594B"/>
    <w:pPr>
      <w:tabs>
        <w:tab w:val="left" w:pos="4253"/>
      </w:tabs>
    </w:pPr>
  </w:style>
  <w:style w:type="paragraph" w:customStyle="1" w:styleId="Podpisnik2">
    <w:name w:val="Podpisnik(2)"/>
    <w:basedOn w:val="Normal"/>
    <w:next w:val="Normal"/>
    <w:qFormat/>
    <w:rsid w:val="00FA594B"/>
    <w:pPr>
      <w:tabs>
        <w:tab w:val="left" w:pos="4253"/>
        <w:tab w:val="left" w:pos="7088"/>
      </w:tabs>
    </w:pPr>
  </w:style>
  <w:style w:type="paragraph" w:customStyle="1" w:styleId="Podpisnik3">
    <w:name w:val="Podpisnik(3)"/>
    <w:basedOn w:val="Podpisnik2"/>
    <w:next w:val="Normal"/>
    <w:qFormat/>
    <w:rsid w:val="00FA594B"/>
    <w:pPr>
      <w:tabs>
        <w:tab w:val="left" w:pos="1418"/>
      </w:tabs>
    </w:pPr>
  </w:style>
  <w:style w:type="paragraph" w:customStyle="1" w:styleId="stevilcenje">
    <w:name w:val="stevilcenje"/>
    <w:basedOn w:val="Normal"/>
    <w:qFormat/>
    <w:rsid w:val="000B71E2"/>
    <w:pPr>
      <w:numPr>
        <w:numId w:val="3"/>
      </w:numPr>
      <w:ind w:left="340" w:hanging="340"/>
    </w:pPr>
  </w:style>
  <w:style w:type="paragraph" w:styleId="Naslovtabliceizvora">
    <w:name w:val="toa heading"/>
    <w:basedOn w:val="Normal"/>
    <w:next w:val="Normal"/>
    <w:semiHidden/>
    <w:qFormat/>
    <w:rsid w:val="00FA594B"/>
    <w:pPr>
      <w:spacing w:before="120"/>
    </w:pPr>
    <w:rPr>
      <w:b/>
      <w:i/>
      <w:sz w:val="24"/>
    </w:rPr>
  </w:style>
  <w:style w:type="paragraph" w:styleId="Sadraj9">
    <w:name w:val="toc 9"/>
    <w:basedOn w:val="Normal"/>
    <w:next w:val="Normal"/>
    <w:semiHidden/>
    <w:rsid w:val="00FA594B"/>
    <w:pPr>
      <w:ind w:left="1600"/>
    </w:pPr>
  </w:style>
  <w:style w:type="paragraph" w:styleId="Bezproreda">
    <w:name w:val="No Spacing"/>
    <w:uiPriority w:val="1"/>
    <w:qFormat/>
    <w:rsid w:val="00E3044A"/>
    <w:rPr>
      <w:rFonts w:ascii="Arial" w:hAnsi="Arial"/>
      <w:lang w:val="sl-SI" w:eastAsia="en-US"/>
    </w:rPr>
  </w:style>
  <w:style w:type="paragraph" w:styleId="Naslov">
    <w:name w:val="Title"/>
    <w:basedOn w:val="Normal"/>
    <w:next w:val="Normal"/>
    <w:link w:val="NaslovChar"/>
    <w:qFormat/>
    <w:rsid w:val="00014B2F"/>
    <w:pPr>
      <w:spacing w:after="80"/>
      <w:contextualSpacing/>
    </w:pPr>
    <w:rPr>
      <w:rFonts w:asciiTheme="majorHAnsi" w:eastAsiaTheme="majorEastAsia" w:hAnsiTheme="majorHAnsi" w:cstheme="majorBidi"/>
      <w:spacing w:val="-10"/>
      <w:kern w:val="2"/>
      <w:sz w:val="56"/>
      <w:szCs w:val="56"/>
    </w:rPr>
  </w:style>
  <w:style w:type="paragraph" w:styleId="Podnaslov">
    <w:name w:val="Subtitle"/>
    <w:basedOn w:val="Normal"/>
    <w:next w:val="Normal"/>
    <w:link w:val="PodnaslovChar"/>
    <w:qFormat/>
    <w:rsid w:val="00014B2F"/>
    <w:pPr>
      <w:spacing w:after="160"/>
    </w:pPr>
    <w:rPr>
      <w:rFonts w:asciiTheme="minorHAnsi" w:eastAsiaTheme="majorEastAsia" w:hAnsiTheme="minorHAnsi" w:cstheme="majorBidi"/>
      <w:color w:val="A5A5A5" w:themeColor="text1" w:themeTint="A6"/>
      <w:spacing w:val="15"/>
      <w:sz w:val="28"/>
      <w:szCs w:val="28"/>
    </w:rPr>
  </w:style>
  <w:style w:type="paragraph" w:styleId="Citat">
    <w:name w:val="Quote"/>
    <w:basedOn w:val="Normal"/>
    <w:next w:val="Normal"/>
    <w:link w:val="CitatChar"/>
    <w:uiPriority w:val="29"/>
    <w:qFormat/>
    <w:rsid w:val="00014B2F"/>
    <w:pPr>
      <w:spacing w:before="160" w:after="160"/>
      <w:jc w:val="center"/>
    </w:pPr>
    <w:rPr>
      <w:i/>
      <w:iCs/>
      <w:color w:val="979797" w:themeColor="text1" w:themeTint="BF"/>
    </w:rPr>
  </w:style>
  <w:style w:type="paragraph" w:styleId="Odlomakpopisa">
    <w:name w:val="List Paragraph"/>
    <w:basedOn w:val="Normal"/>
    <w:uiPriority w:val="34"/>
    <w:qFormat/>
    <w:rsid w:val="00014B2F"/>
    <w:pPr>
      <w:ind w:left="720"/>
      <w:contextualSpacing/>
    </w:pPr>
  </w:style>
  <w:style w:type="paragraph" w:styleId="Naglaencitat">
    <w:name w:val="Intense Quote"/>
    <w:basedOn w:val="Normal"/>
    <w:next w:val="Normal"/>
    <w:link w:val="NaglaencitatChar"/>
    <w:uiPriority w:val="30"/>
    <w:qFormat/>
    <w:rsid w:val="00014B2F"/>
    <w:pPr>
      <w:pBdr>
        <w:top w:val="single" w:sz="4" w:space="10" w:color="1D005D" w:themeColor="accent1" w:themeShade="BF"/>
        <w:bottom w:val="single" w:sz="4" w:space="10" w:color="1D005D" w:themeColor="accent1" w:themeShade="BF"/>
      </w:pBdr>
      <w:spacing w:before="360" w:after="360"/>
      <w:ind w:left="864" w:right="864"/>
      <w:jc w:val="center"/>
    </w:pPr>
    <w:rPr>
      <w:i/>
      <w:iCs/>
      <w:color w:val="1D005D" w:themeColor="accent1" w:themeShade="BF"/>
    </w:rPr>
  </w:style>
  <w:style w:type="paragraph" w:customStyle="1" w:styleId="Heading20">
    <w:name w:val="Heading #2"/>
    <w:basedOn w:val="Normal"/>
    <w:link w:val="Heading2"/>
    <w:qFormat/>
    <w:rsid w:val="00014B2F"/>
    <w:pPr>
      <w:widowControl w:val="0"/>
      <w:shd w:val="clear" w:color="auto" w:fill="FFFFFF"/>
      <w:spacing w:after="100"/>
      <w:jc w:val="both"/>
      <w:outlineLvl w:val="1"/>
    </w:pPr>
    <w:rPr>
      <w:rFonts w:ascii="Times New Roman" w:hAnsi="Times New Roman"/>
      <w:b/>
      <w:bCs/>
      <w:lang w:val="sr-Latn-BA" w:eastAsia="sr-Latn-BA"/>
    </w:rPr>
  </w:style>
  <w:style w:type="paragraph" w:customStyle="1" w:styleId="Headerorfooter20">
    <w:name w:val="Header or footer (2)"/>
    <w:basedOn w:val="Normal"/>
    <w:link w:val="Headerorfooter2"/>
    <w:qFormat/>
    <w:rsid w:val="00014B2F"/>
    <w:pPr>
      <w:widowControl w:val="0"/>
      <w:shd w:val="clear" w:color="auto" w:fill="FFFFFF"/>
    </w:pPr>
    <w:rPr>
      <w:rFonts w:ascii="Times New Roman" w:hAnsi="Times New Roman"/>
      <w:lang w:val="sr-Latn-BA" w:eastAsia="sr-Latn-BA"/>
    </w:rPr>
  </w:style>
  <w:style w:type="paragraph" w:customStyle="1" w:styleId="Other0">
    <w:name w:val="Other"/>
    <w:basedOn w:val="Normal"/>
    <w:link w:val="Other"/>
    <w:qFormat/>
    <w:rsid w:val="00DA5397"/>
    <w:pPr>
      <w:widowControl w:val="0"/>
      <w:shd w:val="clear" w:color="auto" w:fill="FFFFFF"/>
      <w:jc w:val="both"/>
    </w:pPr>
    <w:rPr>
      <w:rFonts w:ascii="Times New Roman" w:hAnsi="Times New Roman"/>
      <w:lang w:val="sr-Latn-BA" w:eastAsia="sr-Latn-BA"/>
    </w:rPr>
  </w:style>
  <w:style w:type="paragraph" w:customStyle="1" w:styleId="Tablecaption0">
    <w:name w:val="Table caption"/>
    <w:basedOn w:val="Normal"/>
    <w:link w:val="Tablecaption"/>
    <w:qFormat/>
    <w:rsid w:val="00DA5397"/>
    <w:pPr>
      <w:widowControl w:val="0"/>
      <w:shd w:val="clear" w:color="auto" w:fill="FFFFFF"/>
    </w:pPr>
    <w:rPr>
      <w:rFonts w:ascii="Times New Roman" w:hAnsi="Times New Roman"/>
      <w:b/>
      <w:bCs/>
      <w:lang w:val="sr-Latn-BA" w:eastAsia="sr-Latn-BA"/>
    </w:rPr>
  </w:style>
  <w:style w:type="paragraph" w:styleId="Revizija">
    <w:name w:val="Revision"/>
    <w:uiPriority w:val="99"/>
    <w:semiHidden/>
    <w:qFormat/>
    <w:rsid w:val="000373D0"/>
    <w:rPr>
      <w:rFonts w:ascii="Arial" w:hAnsi="Arial"/>
      <w:lang w:val="sl-SI" w:eastAsia="en-US"/>
    </w:rPr>
  </w:style>
  <w:style w:type="paragraph" w:customStyle="1" w:styleId="pf0">
    <w:name w:val="pf0"/>
    <w:basedOn w:val="Normal"/>
    <w:qFormat/>
    <w:rsid w:val="00556105"/>
    <w:pPr>
      <w:spacing w:beforeAutospacing="1" w:afterAutospacing="1"/>
    </w:pPr>
    <w:rPr>
      <w:rFonts w:ascii="Times New Roman" w:hAnsi="Times New Roman"/>
      <w:sz w:val="24"/>
      <w:szCs w:val="24"/>
    </w:rPr>
  </w:style>
  <w:style w:type="paragraph" w:styleId="Tekstkomentara">
    <w:name w:val="annotation text"/>
    <w:basedOn w:val="Normal"/>
    <w:link w:val="TekstkomentaraChar"/>
    <w:unhideWhenUsed/>
    <w:rsid w:val="00611B42"/>
  </w:style>
  <w:style w:type="paragraph" w:styleId="Predmetkomentara">
    <w:name w:val="annotation subject"/>
    <w:basedOn w:val="Tekstkomentara"/>
    <w:next w:val="Tekstkomentara"/>
    <w:link w:val="PredmetkomentaraChar"/>
    <w:semiHidden/>
    <w:unhideWhenUsed/>
    <w:qFormat/>
    <w:rsid w:val="00611B42"/>
    <w:rPr>
      <w:b/>
      <w:bCs/>
    </w:rPr>
  </w:style>
  <w:style w:type="table" w:styleId="Reetkatablice">
    <w:name w:val="Table Grid"/>
    <w:basedOn w:val="Obinatablica"/>
    <w:rsid w:val="00F3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nlb.b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info@nlb.b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NLB">
      <a:dk1>
        <a:srgbClr val="757575"/>
      </a:dk1>
      <a:lt1>
        <a:srgbClr val="FFFFFF"/>
      </a:lt1>
      <a:dk2>
        <a:srgbClr val="FFFFFF"/>
      </a:dk2>
      <a:lt2>
        <a:srgbClr val="CCD32A"/>
      </a:lt2>
      <a:accent1>
        <a:srgbClr val="28007D"/>
      </a:accent1>
      <a:accent2>
        <a:srgbClr val="CCD32A"/>
      </a:accent2>
      <a:accent3>
        <a:srgbClr val="757575"/>
      </a:accent3>
      <a:accent4>
        <a:srgbClr val="937FBE"/>
      </a:accent4>
      <a:accent5>
        <a:srgbClr val="EEE895"/>
      </a:accent5>
      <a:accent6>
        <a:srgbClr val="BABABA"/>
      </a:accent6>
      <a:hlink>
        <a:srgbClr val="28007D"/>
      </a:hlink>
      <a:folHlink>
        <a:srgbClr val="28007D"/>
      </a:folHlink>
    </a:clrScheme>
    <a:fontScheme name="NLB">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481F-CC13-4926-9875-5B9D9173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2359</Words>
  <Characters>13448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Arnela Vuk</dc:creator>
  <dc:description/>
  <cp:lastModifiedBy>Irma Avdić</cp:lastModifiedBy>
  <cp:revision>3</cp:revision>
  <dcterms:created xsi:type="dcterms:W3CDTF">2026-02-13T11:20:00Z</dcterms:created>
  <dcterms:modified xsi:type="dcterms:W3CDTF">2026-02-13T12:21:00Z</dcterms:modified>
  <dc:language>bs-BA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3f496b-b57d-4a77-ad4e-08b58279c2e6_ActionId">
    <vt:lpwstr>1d559f27-a0ed-4290-90ad-962c4aa6295c</vt:lpwstr>
  </property>
  <property fmtid="{D5CDD505-2E9C-101B-9397-08002B2CF9AE}" pid="3" name="MSIP_Label_e53f496b-b57d-4a77-ad4e-08b58279c2e6_ContentBits">
    <vt:lpwstr>0</vt:lpwstr>
  </property>
  <property fmtid="{D5CDD505-2E9C-101B-9397-08002B2CF9AE}" pid="4" name="MSIP_Label_e53f496b-b57d-4a77-ad4e-08b58279c2e6_Enabled">
    <vt:lpwstr>true</vt:lpwstr>
  </property>
  <property fmtid="{D5CDD505-2E9C-101B-9397-08002B2CF9AE}" pid="5" name="MSIP_Label_e53f496b-b57d-4a77-ad4e-08b58279c2e6_Method">
    <vt:lpwstr>Privileged</vt:lpwstr>
  </property>
  <property fmtid="{D5CDD505-2E9C-101B-9397-08002B2CF9AE}" pid="6" name="MSIP_Label_e53f496b-b57d-4a77-ad4e-08b58279c2e6_Name">
    <vt:lpwstr>nlbsa-lbl-internal</vt:lpwstr>
  </property>
  <property fmtid="{D5CDD505-2E9C-101B-9397-08002B2CF9AE}" pid="7" name="MSIP_Label_e53f496b-b57d-4a77-ad4e-08b58279c2e6_SetDate">
    <vt:lpwstr>2026-02-04T15:34:37Z</vt:lpwstr>
  </property>
  <property fmtid="{D5CDD505-2E9C-101B-9397-08002B2CF9AE}" pid="8" name="MSIP_Label_e53f496b-b57d-4a77-ad4e-08b58279c2e6_SiteId">
    <vt:lpwstr>368e92b5-dfa0-4bce-9594-4c2e6fd2d1eb</vt:lpwstr>
  </property>
  <property fmtid="{D5CDD505-2E9C-101B-9397-08002B2CF9AE}" pid="9" name="MSIP_Label_e53f496b-b57d-4a77-ad4e-08b58279c2e6_Tag">
    <vt:lpwstr>10, 0, 1, 1</vt:lpwstr>
  </property>
</Properties>
</file>